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" w:line="240" w:lineRule="auto"/>
        <w:ind w:left="0" w:firstLine="0"/>
        <w:jc w:val="both"/>
        <w:rPr>
          <w:rFonts w:hint="eastAsia" w:eastAsia="宋体"/>
          <w:b/>
          <w:color w:val="auto"/>
          <w:spacing w:val="-2"/>
          <w:sz w:val="24"/>
          <w:lang w:val="en-US" w:eastAsia="zh-CN"/>
        </w:rPr>
      </w:pPr>
      <w:r>
        <w:rPr>
          <w:rFonts w:hint="eastAsia" w:eastAsia="宋体"/>
          <w:b/>
          <w:color w:val="auto"/>
          <w:spacing w:val="-2"/>
          <w:sz w:val="24"/>
          <w:lang w:val="en-US" w:eastAsia="zh-CN"/>
        </w:rPr>
        <w:t>附件</w:t>
      </w:r>
    </w:p>
    <w:p>
      <w:pPr>
        <w:pStyle w:val="2"/>
        <w:spacing w:before="3" w:line="240" w:lineRule="auto"/>
        <w:ind w:left="0" w:firstLine="0"/>
        <w:jc w:val="both"/>
        <w:rPr>
          <w:rFonts w:hint="default" w:eastAsia="宋体"/>
          <w:b/>
          <w:color w:val="auto"/>
          <w:spacing w:val="-2"/>
          <w:sz w:val="24"/>
          <w:lang w:val="en-US" w:eastAsia="zh-CN"/>
        </w:rPr>
      </w:pPr>
      <w:r>
        <w:rPr>
          <w:rFonts w:hint="eastAsia" w:eastAsia="宋体"/>
          <w:b/>
          <w:color w:val="auto"/>
          <w:spacing w:val="-2"/>
          <w:sz w:val="24"/>
          <w:lang w:val="en-US" w:eastAsia="zh-CN"/>
        </w:rPr>
        <w:t>国际建协委员会和工作组名单</w:t>
      </w:r>
    </w:p>
    <w:p>
      <w:pPr>
        <w:pStyle w:val="2"/>
        <w:spacing w:before="9" w:line="240" w:lineRule="auto"/>
        <w:ind w:left="0" w:firstLine="0"/>
        <w:rPr>
          <w:b/>
          <w:sz w:val="21"/>
        </w:rPr>
      </w:pPr>
    </w:p>
    <w:p>
      <w:pPr>
        <w:spacing w:before="0"/>
        <w:ind w:left="115" w:right="0" w:firstLine="0"/>
        <w:jc w:val="left"/>
        <w:rPr>
          <w:b/>
          <w:sz w:val="24"/>
        </w:rPr>
      </w:pPr>
      <w:r>
        <w:rPr>
          <w:rFonts w:hint="eastAsia" w:eastAsia="宋体"/>
          <w:b/>
          <w:sz w:val="24"/>
          <w:lang w:val="en-US" w:eastAsia="zh-CN"/>
        </w:rPr>
        <w:t>4个委员会</w:t>
      </w:r>
      <w:r>
        <w:rPr>
          <w:b/>
          <w:spacing w:val="-2"/>
          <w:sz w:val="24"/>
        </w:rPr>
        <w:t>:</w:t>
      </w:r>
    </w:p>
    <w:p>
      <w:pPr>
        <w:pStyle w:val="2"/>
        <w:spacing w:before="3" w:line="240" w:lineRule="auto"/>
        <w:ind w:left="0" w:firstLine="0"/>
        <w:rPr>
          <w:b/>
        </w:rPr>
      </w:pPr>
    </w:p>
    <w:p>
      <w:pPr>
        <w:pStyle w:val="2"/>
        <w:spacing w:before="1" w:line="240" w:lineRule="auto"/>
        <w:ind w:left="0" w:firstLine="0"/>
        <w:rPr>
          <w:sz w:val="16"/>
        </w:rPr>
      </w:pPr>
    </w:p>
    <w:p>
      <w:pPr>
        <w:pStyle w:val="6"/>
        <w:numPr>
          <w:ilvl w:val="0"/>
          <w:numId w:val="1"/>
        </w:numPr>
        <w:tabs>
          <w:tab w:val="left" w:pos="256"/>
        </w:tabs>
        <w:spacing w:before="90" w:after="0" w:line="240" w:lineRule="auto"/>
        <w:ind w:left="255" w:right="0" w:hanging="141"/>
        <w:jc w:val="left"/>
        <w:rPr>
          <w:sz w:val="24"/>
        </w:rPr>
      </w:pPr>
      <w:r>
        <w:rPr>
          <w:rFonts w:hint="eastAsia" w:eastAsia="宋体"/>
          <w:sz w:val="24"/>
          <w:lang w:val="en-US" w:eastAsia="zh-CN"/>
        </w:rPr>
        <w:t>建筑教育委员会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(EDUCOM)</w:t>
      </w:r>
    </w:p>
    <w:p>
      <w:pPr>
        <w:pStyle w:val="6"/>
        <w:numPr>
          <w:ilvl w:val="0"/>
          <w:numId w:val="1"/>
        </w:numPr>
        <w:tabs>
          <w:tab w:val="left" w:pos="256"/>
        </w:tabs>
        <w:spacing w:before="4" w:after="0" w:line="275" w:lineRule="exact"/>
        <w:ind w:left="255" w:right="0" w:hanging="141"/>
        <w:jc w:val="left"/>
        <w:rPr>
          <w:sz w:val="24"/>
        </w:rPr>
      </w:pPr>
      <w:r>
        <w:rPr>
          <w:rFonts w:hint="eastAsia"/>
          <w:sz w:val="24"/>
        </w:rPr>
        <w:t>职业实践委员会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(PPC)</w:t>
      </w:r>
    </w:p>
    <w:p>
      <w:pPr>
        <w:pStyle w:val="6"/>
        <w:numPr>
          <w:ilvl w:val="0"/>
          <w:numId w:val="1"/>
        </w:numPr>
        <w:tabs>
          <w:tab w:val="left" w:pos="256"/>
        </w:tabs>
        <w:spacing w:before="0" w:after="0" w:line="275" w:lineRule="exact"/>
        <w:ind w:left="255" w:right="0" w:hanging="141"/>
        <w:jc w:val="left"/>
        <w:rPr>
          <w:sz w:val="24"/>
        </w:rPr>
      </w:pPr>
      <w:r>
        <w:rPr>
          <w:rFonts w:hint="eastAsia"/>
          <w:spacing w:val="-2"/>
          <w:sz w:val="24"/>
        </w:rPr>
        <w:t>国际竞赛委员会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(ICC)</w:t>
      </w:r>
    </w:p>
    <w:p>
      <w:pPr>
        <w:pStyle w:val="6"/>
        <w:numPr>
          <w:ilvl w:val="0"/>
          <w:numId w:val="1"/>
        </w:numPr>
        <w:tabs>
          <w:tab w:val="left" w:pos="256"/>
        </w:tabs>
        <w:spacing w:before="0" w:after="0" w:line="275" w:lineRule="exact"/>
        <w:ind w:left="255" w:right="0" w:hanging="141"/>
        <w:jc w:val="left"/>
        <w:rPr>
          <w:sz w:val="24"/>
        </w:rPr>
      </w:pPr>
      <w:r>
        <w:rPr>
          <w:rFonts w:hint="eastAsia"/>
          <w:sz w:val="24"/>
        </w:rPr>
        <w:t>可持续发展目标委员会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(SDGC)</w:t>
      </w:r>
    </w:p>
    <w:p>
      <w:pPr>
        <w:pStyle w:val="2"/>
        <w:spacing w:line="240" w:lineRule="auto"/>
        <w:ind w:left="0" w:firstLine="0"/>
        <w:rPr>
          <w:sz w:val="26"/>
        </w:rPr>
      </w:pPr>
    </w:p>
    <w:p>
      <w:pPr>
        <w:pStyle w:val="2"/>
        <w:spacing w:before="2" w:line="240" w:lineRule="auto"/>
        <w:ind w:left="0" w:firstLine="0"/>
        <w:rPr>
          <w:sz w:val="22"/>
        </w:rPr>
      </w:pPr>
    </w:p>
    <w:p>
      <w:pPr>
        <w:spacing w:before="0"/>
        <w:ind w:left="115" w:right="0" w:firstLine="0"/>
        <w:jc w:val="left"/>
        <w:rPr>
          <w:b/>
          <w:sz w:val="24"/>
        </w:rPr>
      </w:pPr>
      <w:r>
        <w:rPr>
          <w:b/>
          <w:sz w:val="24"/>
        </w:rPr>
        <w:t>11</w:t>
      </w:r>
      <w:r>
        <w:rPr>
          <w:rFonts w:hint="eastAsia" w:eastAsia="宋体"/>
          <w:b/>
          <w:spacing w:val="-4"/>
          <w:sz w:val="24"/>
          <w:lang w:val="en-US" w:eastAsia="zh-CN"/>
        </w:rPr>
        <w:t>个工作组</w:t>
      </w:r>
      <w:r>
        <w:rPr>
          <w:b/>
          <w:spacing w:val="-2"/>
          <w:sz w:val="24"/>
        </w:rPr>
        <w:t>:</w:t>
      </w:r>
    </w:p>
    <w:p>
      <w:pPr>
        <w:pStyle w:val="2"/>
        <w:spacing w:before="10" w:line="240" w:lineRule="auto"/>
        <w:ind w:left="0" w:firstLine="0"/>
        <w:rPr>
          <w:b/>
          <w:sz w:val="23"/>
        </w:rPr>
      </w:pPr>
    </w:p>
    <w:p>
      <w:pPr>
        <w:pStyle w:val="2"/>
        <w:spacing w:before="5" w:line="240" w:lineRule="auto"/>
        <w:ind w:left="0" w:firstLine="0"/>
        <w:rPr>
          <w:sz w:val="16"/>
        </w:rPr>
      </w:pPr>
    </w:p>
    <w:p>
      <w:pPr>
        <w:pStyle w:val="6"/>
        <w:numPr>
          <w:ilvl w:val="0"/>
          <w:numId w:val="1"/>
        </w:numPr>
        <w:tabs>
          <w:tab w:val="left" w:pos="256"/>
        </w:tabs>
        <w:spacing w:before="0" w:after="0" w:line="275" w:lineRule="exact"/>
        <w:ind w:left="255" w:right="0" w:hanging="141"/>
        <w:jc w:val="left"/>
        <w:rPr>
          <w:sz w:val="24"/>
        </w:rPr>
      </w:pPr>
      <w:r>
        <w:rPr>
          <w:rFonts w:hint="eastAsia"/>
          <w:sz w:val="24"/>
        </w:rPr>
        <w:t>建筑与儿童</w:t>
      </w:r>
    </w:p>
    <w:p>
      <w:pPr>
        <w:pStyle w:val="6"/>
        <w:numPr>
          <w:ilvl w:val="0"/>
          <w:numId w:val="1"/>
        </w:numPr>
        <w:tabs>
          <w:tab w:val="left" w:pos="256"/>
        </w:tabs>
        <w:spacing w:before="0" w:after="0" w:line="275" w:lineRule="exact"/>
        <w:ind w:left="255" w:right="0" w:hanging="141"/>
        <w:jc w:val="left"/>
        <w:rPr>
          <w:sz w:val="24"/>
        </w:rPr>
      </w:pPr>
      <w:r>
        <w:rPr>
          <w:rFonts w:hint="eastAsia"/>
          <w:sz w:val="24"/>
        </w:rPr>
        <w:t>所有人的建筑</w:t>
      </w:r>
    </w:p>
    <w:p>
      <w:pPr>
        <w:pStyle w:val="2"/>
        <w:spacing w:before="3" w:line="240" w:lineRule="auto"/>
        <w:rPr>
          <w:rFonts w:hint="eastAsia" w:eastAsia="宋体"/>
          <w:lang w:eastAsia="zh-CN"/>
        </w:rPr>
      </w:pPr>
      <w:r>
        <w:rPr>
          <w:rFonts w:hint="eastAsia"/>
        </w:rPr>
        <w:t>-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建筑、城市和</w:t>
      </w:r>
      <w:r>
        <w:rPr>
          <w:rFonts w:hint="eastAsia" w:eastAsia="宋体"/>
          <w:lang w:val="en-US" w:eastAsia="zh-CN"/>
        </w:rPr>
        <w:t>领地</w:t>
      </w:r>
    </w:p>
    <w:p>
      <w:pPr>
        <w:pStyle w:val="2"/>
        <w:spacing w:before="3" w:line="240" w:lineRule="auto"/>
        <w:rPr>
          <w:rFonts w:hint="eastAsia"/>
        </w:rPr>
      </w:pPr>
      <w:r>
        <w:rPr>
          <w:rFonts w:hint="eastAsia"/>
        </w:rPr>
        <w:t>-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社区建筑和人权</w:t>
      </w:r>
    </w:p>
    <w:p>
      <w:pPr>
        <w:pStyle w:val="2"/>
        <w:spacing w:before="3" w:line="240" w:lineRule="auto"/>
        <w:rPr>
          <w:rFonts w:hint="eastAsia"/>
        </w:rPr>
      </w:pPr>
      <w:r>
        <w:rPr>
          <w:rFonts w:hint="eastAsia"/>
        </w:rPr>
        <w:t>-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教育和文化空间</w:t>
      </w:r>
    </w:p>
    <w:p>
      <w:pPr>
        <w:pStyle w:val="2"/>
        <w:spacing w:before="3" w:line="240" w:lineRule="auto"/>
        <w:rPr>
          <w:rFonts w:hint="eastAsia"/>
        </w:rPr>
      </w:pPr>
      <w:r>
        <w:rPr>
          <w:rFonts w:hint="eastAsia"/>
        </w:rPr>
        <w:t>-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遗产和文化认同</w:t>
      </w:r>
    </w:p>
    <w:p>
      <w:pPr>
        <w:pStyle w:val="2"/>
        <w:spacing w:before="3" w:line="240" w:lineRule="auto"/>
        <w:rPr>
          <w:rFonts w:hint="eastAsia"/>
        </w:rPr>
      </w:pPr>
      <w:r>
        <w:rPr>
          <w:rFonts w:hint="eastAsia"/>
        </w:rPr>
        <w:t>-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土著居民</w:t>
      </w:r>
    </w:p>
    <w:p>
      <w:pPr>
        <w:pStyle w:val="2"/>
        <w:spacing w:before="3" w:line="240" w:lineRule="auto"/>
        <w:rPr>
          <w:rFonts w:hint="eastAsia"/>
        </w:rPr>
      </w:pPr>
      <w:r>
        <w:rPr>
          <w:rFonts w:hint="eastAsia"/>
        </w:rPr>
        <w:t>-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公共卫生</w:t>
      </w:r>
    </w:p>
    <w:p>
      <w:pPr>
        <w:pStyle w:val="2"/>
        <w:spacing w:before="3" w:line="240" w:lineRule="auto"/>
        <w:rPr>
          <w:rFonts w:hint="eastAsia"/>
        </w:rPr>
      </w:pPr>
      <w:r>
        <w:rPr>
          <w:rFonts w:hint="eastAsia" w:eastAsia="宋体"/>
          <w:lang w:val="en-US" w:eastAsia="zh-CN"/>
        </w:rPr>
        <w:t xml:space="preserve">- </w:t>
      </w:r>
      <w:r>
        <w:rPr>
          <w:rFonts w:hint="eastAsia"/>
        </w:rPr>
        <w:t>公共空间</w:t>
      </w:r>
    </w:p>
    <w:p>
      <w:pPr>
        <w:pStyle w:val="2"/>
        <w:spacing w:before="3" w:line="240" w:lineRule="auto"/>
        <w:rPr>
          <w:rFonts w:hint="eastAsia"/>
        </w:rPr>
      </w:pPr>
      <w:r>
        <w:rPr>
          <w:rFonts w:hint="eastAsia"/>
        </w:rPr>
        <w:t>-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>社会栖息地</w:t>
      </w:r>
    </w:p>
    <w:p>
      <w:pPr>
        <w:pStyle w:val="2"/>
        <w:spacing w:before="3" w:line="240" w:lineRule="auto"/>
        <w:rPr>
          <w:rFonts w:hint="eastAsia"/>
        </w:rPr>
      </w:pPr>
      <w:r>
        <w:rPr>
          <w:rFonts w:hint="eastAsia"/>
        </w:rPr>
        <w:t>-</w:t>
      </w:r>
      <w:r>
        <w:rPr>
          <w:rFonts w:hint="eastAsia" w:eastAsia="宋体"/>
          <w:lang w:val="en-US" w:eastAsia="zh-CN"/>
        </w:rPr>
        <w:t xml:space="preserve"> 运动与</w:t>
      </w:r>
      <w:r>
        <w:rPr>
          <w:rFonts w:hint="eastAsia"/>
        </w:rPr>
        <w:t>休闲</w:t>
      </w:r>
    </w:p>
    <w:p>
      <w:pPr>
        <w:pStyle w:val="2"/>
        <w:spacing w:before="3" w:line="240" w:lineRule="auto"/>
        <w:rPr>
          <w:rFonts w:hint="eastAsia"/>
        </w:rPr>
      </w:pPr>
    </w:p>
    <w:p>
      <w:pPr>
        <w:pStyle w:val="6"/>
        <w:widowControl w:val="0"/>
        <w:numPr>
          <w:ilvl w:val="0"/>
          <w:numId w:val="0"/>
        </w:numPr>
        <w:tabs>
          <w:tab w:val="left" w:pos="256"/>
        </w:tabs>
        <w:autoSpaceDE w:val="0"/>
        <w:autoSpaceDN w:val="0"/>
        <w:spacing w:before="0" w:after="0" w:line="275" w:lineRule="exact"/>
        <w:ind w:right="0" w:rightChars="0"/>
        <w:jc w:val="left"/>
        <w:rPr>
          <w:rFonts w:hint="eastAsia" w:eastAsia="宋体"/>
          <w:sz w:val="24"/>
          <w:lang w:val="en-US" w:eastAsia="zh-CN"/>
        </w:rPr>
      </w:pPr>
      <w:bookmarkStart w:id="0" w:name="_GoBack"/>
      <w:bookmarkEnd w:id="0"/>
    </w:p>
    <w:p>
      <w:pPr>
        <w:pStyle w:val="6"/>
        <w:widowControl w:val="0"/>
        <w:numPr>
          <w:ilvl w:val="0"/>
          <w:numId w:val="0"/>
        </w:numPr>
        <w:tabs>
          <w:tab w:val="left" w:pos="256"/>
        </w:tabs>
        <w:autoSpaceDE w:val="0"/>
        <w:autoSpaceDN w:val="0"/>
        <w:spacing w:before="0" w:after="0" w:line="275" w:lineRule="exact"/>
        <w:ind w:right="0" w:rightChars="0"/>
        <w:jc w:val="left"/>
        <w:rPr>
          <w:rFonts w:hint="eastAsia" w:eastAsia="宋体"/>
          <w:sz w:val="24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tabs>
          <w:tab w:val="left" w:pos="256"/>
        </w:tabs>
        <w:autoSpaceDE w:val="0"/>
        <w:autoSpaceDN w:val="0"/>
        <w:spacing w:before="0" w:after="0" w:line="275" w:lineRule="exact"/>
        <w:ind w:right="0" w:rightChars="0"/>
        <w:jc w:val="left"/>
        <w:rPr>
          <w:rFonts w:hint="eastAsia" w:eastAsia="宋体"/>
          <w:sz w:val="24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tabs>
          <w:tab w:val="left" w:pos="256"/>
        </w:tabs>
        <w:autoSpaceDE w:val="0"/>
        <w:autoSpaceDN w:val="0"/>
        <w:spacing w:before="0" w:after="0" w:line="275" w:lineRule="exact"/>
        <w:ind w:right="0" w:rightChars="0"/>
        <w:jc w:val="left"/>
        <w:rPr>
          <w:rFonts w:hint="eastAsia" w:eastAsia="宋体"/>
          <w:sz w:val="24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tabs>
          <w:tab w:val="left" w:pos="256"/>
        </w:tabs>
        <w:autoSpaceDE w:val="0"/>
        <w:autoSpaceDN w:val="0"/>
        <w:spacing w:before="0" w:after="0" w:line="275" w:lineRule="exact"/>
        <w:ind w:right="0" w:rightChars="0"/>
        <w:jc w:val="left"/>
        <w:rPr>
          <w:rFonts w:hint="eastAsia" w:eastAsia="宋体"/>
          <w:sz w:val="24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tabs>
          <w:tab w:val="left" w:pos="256"/>
        </w:tabs>
        <w:autoSpaceDE w:val="0"/>
        <w:autoSpaceDN w:val="0"/>
        <w:spacing w:before="0" w:after="0" w:line="275" w:lineRule="exact"/>
        <w:ind w:right="0" w:rightChars="0"/>
        <w:jc w:val="left"/>
        <w:rPr>
          <w:rFonts w:hint="default" w:eastAsia="宋体"/>
          <w:sz w:val="24"/>
          <w:lang w:val="en-US" w:eastAsia="zh-CN"/>
        </w:rPr>
      </w:pPr>
    </w:p>
    <w:sectPr>
      <w:type w:val="continuous"/>
      <w:pgSz w:w="11910" w:h="16840"/>
      <w:pgMar w:top="1340" w:right="168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255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126" w:hanging="14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14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859" w:hanging="14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26" w:hanging="14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592" w:hanging="14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459" w:hanging="14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25" w:hanging="14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92" w:hanging="1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ZWIxZmVmNTA4NDk1NWI3MmE0NmU1MDIzZDUxMTIifQ=="/>
  </w:docVars>
  <w:rsids>
    <w:rsidRoot w:val="00000000"/>
    <w:rsid w:val="443E18E3"/>
    <w:rsid w:val="4FA70AE7"/>
    <w:rsid w:val="732D77D4"/>
    <w:rsid w:val="792C296D"/>
    <w:rsid w:val="7D5117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line="275" w:lineRule="exact"/>
      <w:ind w:left="255" w:hanging="141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line="275" w:lineRule="exact"/>
      <w:ind w:left="255" w:hanging="141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7">
    <w:name w:val="Table Paragraph"/>
    <w:basedOn w:val="1"/>
    <w:qFormat/>
    <w:uiPriority w:val="1"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2023-09-07T06:47:00Z</dcterms:created>
  <dc:creator>Administrator</dc:creator>
  <cp:lastModifiedBy>Administrator</cp:lastModifiedBy>
  <dcterms:modified xsi:type="dcterms:W3CDTF">2023-09-11T06:14:17Z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2023-09-07T00:00:00Z</vt:filetime>
  </property>
  <property fmtid="{D5CDD505-2E9C-101B-9397-08002B2CF9AE}" pid="5" name="KSOProductBuildVer">
    <vt:lpwstr>2052-12.1.0.15374</vt:lpwstr>
  </property>
  <property fmtid="{D5CDD505-2E9C-101B-9397-08002B2CF9AE}" pid="6" name="ICV">
    <vt:lpwstr>A248EB669F6E4F71B23D2BC6EB6E0574_13</vt:lpwstr>
  </property>
</Properties>
</file>