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6B0" w:rsidRDefault="001C66B0">
      <w:pPr>
        <w:rPr>
          <w:rFonts w:ascii="宋体" w:hAnsi="宋体"/>
        </w:rPr>
      </w:pPr>
      <w:bookmarkStart w:id="0" w:name="_Toc102141070"/>
    </w:p>
    <w:p w:rsidR="001C66B0" w:rsidRDefault="00D005FC">
      <w:pPr>
        <w:rPr>
          <w:rFonts w:ascii="宋体" w:hAnsi="宋体"/>
        </w:rPr>
      </w:pPr>
      <w:r>
        <w:rPr>
          <w:rFonts w:ascii="宋体" w:hAnsi="宋体"/>
        </w:rPr>
        <w:t>ICS</w:t>
      </w:r>
      <w:bookmarkEnd w:id="0"/>
      <w:r>
        <w:rPr>
          <w:rFonts w:ascii="宋体" w:hAnsi="宋体" w:hint="eastAsia"/>
        </w:rPr>
        <w:t xml:space="preserve"> </w:t>
      </w:r>
      <w:r>
        <w:rPr>
          <w:rFonts w:ascii="宋体" w:hAnsi="宋体"/>
        </w:rPr>
        <w:t>0X.0XX.XX</w:t>
      </w:r>
    </w:p>
    <w:p w:rsidR="001C66B0" w:rsidRDefault="00D005FC">
      <w:pPr>
        <w:rPr>
          <w:rFonts w:ascii="宋体" w:hAnsi="宋体"/>
        </w:rPr>
      </w:pPr>
      <w:bookmarkStart w:id="1" w:name="_Toc102141071"/>
      <w:r>
        <w:rPr>
          <w:rFonts w:ascii="宋体" w:hAnsi="宋体" w:hint="eastAsia"/>
        </w:rPr>
        <w:t>CCS</w:t>
      </w:r>
      <w:bookmarkEnd w:id="1"/>
      <w:r>
        <w:rPr>
          <w:rFonts w:ascii="宋体" w:hAnsi="宋体" w:hint="eastAsia"/>
        </w:rPr>
        <w:t xml:space="preserve"> </w:t>
      </w:r>
      <w:r>
        <w:rPr>
          <w:rFonts w:ascii="宋体" w:hAnsi="宋体"/>
        </w:rPr>
        <w:t>XXX</w:t>
      </w:r>
    </w:p>
    <w:p w:rsidR="001C66B0" w:rsidRDefault="001C66B0">
      <w:pPr>
        <w:rPr>
          <w:rFonts w:ascii="宋体" w:hAnsi="宋体"/>
        </w:rPr>
      </w:pPr>
    </w:p>
    <w:p w:rsidR="001C66B0" w:rsidRDefault="001C66B0">
      <w:pPr>
        <w:rPr>
          <w:rFonts w:ascii="宋体" w:hAnsi="宋体"/>
        </w:rPr>
      </w:pPr>
    </w:p>
    <w:p w:rsidR="001C66B0" w:rsidRDefault="00D005FC">
      <w:pPr>
        <w:ind w:leftChars="520" w:left="1092"/>
        <w:rPr>
          <w:rFonts w:ascii="黑体" w:eastAsia="黑体" w:hAnsi="黑体"/>
          <w:sz w:val="84"/>
          <w:szCs w:val="84"/>
        </w:rPr>
      </w:pPr>
      <w:r>
        <w:rPr>
          <w:rFonts w:ascii="黑体" w:eastAsia="黑体" w:hAnsi="黑体" w:hint="eastAsia"/>
          <w:sz w:val="84"/>
          <w:szCs w:val="84"/>
        </w:rPr>
        <w:t>团   体   标   准</w:t>
      </w:r>
    </w:p>
    <w:p w:rsidR="001C66B0" w:rsidRDefault="00D005FC">
      <w:pPr>
        <w:jc w:val="right"/>
        <w:rPr>
          <w:rFonts w:ascii="Times New Roman" w:hAnsi="Times New Roman" w:cs="Times New Roman"/>
          <w:sz w:val="24"/>
        </w:rPr>
      </w:pPr>
      <w:r>
        <w:rPr>
          <w:rFonts w:ascii="Times New Roman" w:hAnsi="Times New Roman" w:cs="Times New Roman"/>
          <w:sz w:val="24"/>
        </w:rPr>
        <w:t>T/ASC XXXX—2024</w:t>
      </w:r>
    </w:p>
    <w:p w:rsidR="001C66B0" w:rsidRDefault="001C66B0">
      <w:pPr>
        <w:jc w:val="right"/>
        <w:rPr>
          <w:rFonts w:ascii="黑体" w:eastAsia="黑体" w:hAnsi="黑体"/>
          <w:sz w:val="24"/>
        </w:rPr>
      </w:pPr>
    </w:p>
    <w:p w:rsidR="001C66B0" w:rsidRDefault="000F24AC">
      <w:pPr>
        <w:rPr>
          <w:rFonts w:ascii="Calibri" w:hAnsi="Calibri"/>
          <w:b/>
          <w:sz w:val="48"/>
          <w:szCs w:val="48"/>
        </w:rPr>
      </w:pPr>
      <w:r w:rsidRPr="000F24AC">
        <w:rPr>
          <w:noProof/>
        </w:rPr>
        <w:pict>
          <v:shapetype id="_x0000_t32" coordsize="21600,21600" o:spt="32" o:oned="t" path="m,l21600,21600e" filled="f">
            <v:path arrowok="t" fillok="f" o:connecttype="none"/>
            <o:lock v:ext="edit" shapetype="t"/>
          </v:shapetype>
          <v:shape id="直接箭头连接符 2" o:spid="_x0000_s1026" type="#_x0000_t32" style="position:absolute;left:0;text-align:left;margin-left:21.85pt;margin-top:5.6pt;width:412.65pt;height:0;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" strokeweight="1.5pt"/>
        </w:pict>
      </w:r>
    </w:p>
    <w:p w:rsidR="001C66B0" w:rsidRDefault="001C66B0">
      <w:pPr>
        <w:rPr>
          <w:rFonts w:ascii="Calibri" w:hAnsi="Calibri"/>
          <w:b/>
          <w:sz w:val="48"/>
          <w:szCs w:val="48"/>
        </w:rPr>
      </w:pPr>
    </w:p>
    <w:p w:rsidR="001C66B0" w:rsidRDefault="001C66B0">
      <w:pPr>
        <w:rPr>
          <w:rFonts w:ascii="Calibri" w:hAnsi="Calibri"/>
          <w:b/>
          <w:sz w:val="48"/>
          <w:szCs w:val="48"/>
        </w:rPr>
      </w:pPr>
    </w:p>
    <w:p w:rsidR="001C66B0" w:rsidRDefault="00D005FC">
      <w:pPr>
        <w:widowControl/>
        <w:spacing w:before="567"/>
        <w:jc w:val="center"/>
        <w:rPr>
          <w:rFonts w:ascii="黑体" w:eastAsia="黑体" w:hAnsi="黑体"/>
          <w:sz w:val="48"/>
          <w:szCs w:val="48"/>
        </w:rPr>
      </w:pPr>
      <w:r>
        <w:rPr>
          <w:rFonts w:ascii="黑体" w:eastAsia="黑体" w:hAnsi="黑体" w:hint="eastAsia"/>
          <w:sz w:val="48"/>
          <w:szCs w:val="48"/>
        </w:rPr>
        <w:t>建筑工程质量安全综合保险风险管理标准</w:t>
      </w:r>
    </w:p>
    <w:p w:rsidR="001C66B0" w:rsidRDefault="00D005FC">
      <w:pPr>
        <w:widowControl/>
        <w:spacing w:before="567"/>
        <w:jc w:val="center"/>
        <w:rPr>
          <w:rFonts w:ascii="黑体" w:eastAsia="黑体" w:hAnsi="黑体" w:cs="Arial"/>
          <w:color w:val="000000"/>
          <w:sz w:val="36"/>
          <w:szCs w:val="36"/>
          <w:shd w:val="clear" w:color="auto" w:fill="FFFFFF"/>
        </w:rPr>
      </w:pPr>
      <w:r>
        <w:rPr>
          <w:rFonts w:ascii="黑体" w:eastAsia="黑体" w:hAnsi="黑体" w:hint="eastAsia"/>
          <w:sz w:val="48"/>
          <w:szCs w:val="48"/>
        </w:rPr>
        <w:t>（征求意见稿）</w:t>
      </w:r>
    </w:p>
    <w:p w:rsidR="001C66B0" w:rsidRDefault="00D005FC">
      <w:pPr>
        <w:widowControl/>
        <w:spacing w:before="567"/>
        <w:jc w:val="center"/>
        <w:rPr>
          <w:rFonts w:ascii="黑体" w:eastAsia="黑体" w:hAnsi="黑体" w:cs="Arial"/>
          <w:color w:val="000000"/>
          <w:sz w:val="36"/>
          <w:szCs w:val="36"/>
          <w:shd w:val="clear" w:color="auto" w:fill="FFFFFF"/>
        </w:rPr>
      </w:pPr>
      <w:r>
        <w:rPr>
          <w:rFonts w:ascii="黑体" w:eastAsia="黑体" w:hAnsi="黑体" w:cs="Arial"/>
          <w:color w:val="000000"/>
          <w:sz w:val="36"/>
          <w:szCs w:val="36"/>
          <w:shd w:val="clear" w:color="auto" w:fill="FFFFFF"/>
        </w:rPr>
        <w:t>Standard for Inherent Defects and Safety Liability Insurance</w:t>
      </w:r>
    </w:p>
    <w:p w:rsidR="001C66B0" w:rsidRDefault="001C66B0" w:rsidP="00D005FC">
      <w:pPr>
        <w:spacing w:beforeLines="150" w:line="600" w:lineRule="auto"/>
        <w:rPr>
          <w:rFonts w:ascii="Calibri" w:hAnsi="Calibri"/>
          <w:sz w:val="30"/>
          <w:szCs w:val="30"/>
        </w:rPr>
      </w:pPr>
    </w:p>
    <w:p w:rsidR="001C66B0" w:rsidRDefault="001C66B0">
      <w:pPr>
        <w:spacing w:line="600" w:lineRule="auto"/>
        <w:rPr>
          <w:rFonts w:ascii="Calibri" w:hAnsi="Calibri"/>
          <w:sz w:val="30"/>
          <w:szCs w:val="30"/>
        </w:rPr>
      </w:pPr>
    </w:p>
    <w:p w:rsidR="001C66B0" w:rsidRDefault="001C66B0">
      <w:pPr>
        <w:spacing w:line="600" w:lineRule="auto"/>
        <w:rPr>
          <w:rFonts w:ascii="Calibri" w:hAnsi="Calibri"/>
          <w:sz w:val="30"/>
          <w:szCs w:val="30"/>
        </w:rPr>
      </w:pPr>
    </w:p>
    <w:p w:rsidR="001C66B0" w:rsidRDefault="00D005FC">
      <w:pPr>
        <w:spacing w:line="600" w:lineRule="auto"/>
        <w:rPr>
          <w:rFonts w:ascii="方正粗圆简体" w:eastAsia="方正粗圆简体" w:hAnsi="方正粗宋简体"/>
          <w:sz w:val="30"/>
          <w:szCs w:val="30"/>
          <w:u w:val="single"/>
        </w:rPr>
      </w:pPr>
      <w:r>
        <w:rPr>
          <w:rFonts w:hint="eastAsia"/>
          <w:sz w:val="30"/>
          <w:szCs w:val="30"/>
          <w:u w:val="single"/>
        </w:rPr>
        <w:t>202</w:t>
      </w:r>
      <w:r>
        <w:rPr>
          <w:sz w:val="30"/>
          <w:szCs w:val="30"/>
          <w:u w:val="single"/>
        </w:rPr>
        <w:t>4-</w:t>
      </w:r>
      <w:r>
        <w:rPr>
          <w:rFonts w:hint="eastAsia"/>
          <w:sz w:val="30"/>
          <w:szCs w:val="30"/>
          <w:u w:val="single"/>
        </w:rPr>
        <w:t>0</w:t>
      </w:r>
      <w:r>
        <w:rPr>
          <w:sz w:val="30"/>
          <w:szCs w:val="30"/>
          <w:u w:val="single"/>
        </w:rPr>
        <w:t>X-XX</w:t>
      </w:r>
      <w:r>
        <w:rPr>
          <w:rFonts w:ascii="黑体" w:eastAsia="黑体" w:hAnsi="黑体" w:hint="eastAsia"/>
          <w:sz w:val="30"/>
          <w:szCs w:val="30"/>
          <w:u w:val="single"/>
        </w:rPr>
        <w:t xml:space="preserve">发布                                 </w:t>
      </w:r>
      <w:r>
        <w:rPr>
          <w:rFonts w:hint="eastAsia"/>
          <w:sz w:val="30"/>
          <w:szCs w:val="30"/>
          <w:u w:val="single"/>
        </w:rPr>
        <w:t>202</w:t>
      </w:r>
      <w:r>
        <w:rPr>
          <w:sz w:val="30"/>
          <w:szCs w:val="30"/>
          <w:u w:val="single"/>
        </w:rPr>
        <w:t>4-</w:t>
      </w:r>
      <w:r>
        <w:rPr>
          <w:rFonts w:hint="eastAsia"/>
          <w:sz w:val="30"/>
          <w:szCs w:val="30"/>
          <w:u w:val="single"/>
        </w:rPr>
        <w:t>0</w:t>
      </w:r>
      <w:r>
        <w:rPr>
          <w:sz w:val="30"/>
          <w:szCs w:val="30"/>
          <w:u w:val="single"/>
        </w:rPr>
        <w:t>X-</w:t>
      </w:r>
      <w:r>
        <w:rPr>
          <w:rFonts w:hint="eastAsia"/>
          <w:sz w:val="30"/>
          <w:szCs w:val="30"/>
          <w:u w:val="single"/>
        </w:rPr>
        <w:t>0</w:t>
      </w:r>
      <w:r>
        <w:rPr>
          <w:sz w:val="30"/>
          <w:szCs w:val="30"/>
          <w:u w:val="single"/>
        </w:rPr>
        <w:t>X</w:t>
      </w:r>
      <w:r>
        <w:rPr>
          <w:rFonts w:ascii="黑体" w:eastAsia="黑体" w:hAnsi="黑体" w:hint="eastAsia"/>
          <w:sz w:val="30"/>
          <w:szCs w:val="30"/>
          <w:u w:val="single"/>
        </w:rPr>
        <w:t>实施</w:t>
      </w:r>
    </w:p>
    <w:p w:rsidR="001C66B0" w:rsidRDefault="00D005FC">
      <w:pPr>
        <w:jc w:val="center"/>
        <w:rPr>
          <w:rFonts w:ascii="黑体" w:eastAsia="黑体" w:hAnsi="黑体"/>
          <w:sz w:val="30"/>
          <w:szCs w:val="30"/>
        </w:rPr>
        <w:sectPr w:rsidR="001C66B0">
          <w:headerReference w:type="even" r:id="rId9"/>
          <w:footerReference w:type="even" r:id="rId10"/>
          <w:headerReference w:type="first" r:id="rId11"/>
          <w:footerReference w:type="first" r:id="rId12"/>
          <w:pgSz w:w="11906" w:h="16838"/>
          <w:pgMar w:top="567" w:right="850" w:bottom="1134" w:left="1418" w:header="0" w:footer="0" w:gutter="0"/>
          <w:pgNumType w:start="1"/>
          <w:cols w:space="720"/>
          <w:docGrid w:type="lines" w:linePitch="312"/>
        </w:sectPr>
      </w:pPr>
      <w:r>
        <w:rPr>
          <w:rFonts w:ascii="黑体" w:eastAsia="黑体" w:hAnsi="黑体" w:hint="eastAsia"/>
          <w:sz w:val="30"/>
          <w:szCs w:val="30"/>
        </w:rPr>
        <w:t>中国建筑学会发布</w:t>
      </w:r>
    </w:p>
    <w:p w:rsidR="001C66B0" w:rsidRDefault="00D005FC">
      <w:pPr>
        <w:pStyle w:val="a"/>
        <w:spacing w:after="468"/>
        <w:outlineLvl w:val="9"/>
      </w:pPr>
      <w:bookmarkStart w:id="2" w:name="_Toc47090337"/>
      <w:bookmarkStart w:id="3" w:name="_Toc47090244"/>
      <w:bookmarkStart w:id="4" w:name="_Toc47090655"/>
      <w:r>
        <w:rPr>
          <w:spacing w:val="320"/>
        </w:rPr>
        <w:lastRenderedPageBreak/>
        <w:t>前</w:t>
      </w:r>
      <w:r>
        <w:t>言</w:t>
      </w:r>
    </w:p>
    <w:p w:rsidR="001C66B0" w:rsidRDefault="00D005FC">
      <w:pPr>
        <w:pStyle w:val="af7"/>
        <w:spacing w:line="276" w:lineRule="auto"/>
        <w:ind w:firstLine="420"/>
      </w:pPr>
      <w:r>
        <w:rPr>
          <w:rFonts w:hint="eastAsia"/>
        </w:rPr>
        <w:t>根据中国建筑学会2022年</w:t>
      </w:r>
      <w:r>
        <w:t>8</w:t>
      </w:r>
      <w:r>
        <w:rPr>
          <w:rFonts w:hint="eastAsia"/>
        </w:rPr>
        <w:t>月1</w:t>
      </w:r>
      <w:r>
        <w:t>0</w:t>
      </w:r>
      <w:r>
        <w:rPr>
          <w:rFonts w:hint="eastAsia"/>
        </w:rPr>
        <w:t>日</w:t>
      </w:r>
      <w:r>
        <w:rPr>
          <w:rFonts w:hint="eastAsia"/>
        </w:rPr>
        <w:t> </w:t>
      </w:r>
      <w:r>
        <w:rPr>
          <w:rFonts w:hint="eastAsia"/>
        </w:rPr>
        <w:t>《关于发布</w:t>
      </w:r>
      <w:r>
        <w:t>&lt;</w:t>
      </w:r>
      <w:r>
        <w:rPr>
          <w:rFonts w:hint="eastAsia"/>
        </w:rPr>
        <w:t>2022年中国建筑学会标准编制计划（第一批）</w:t>
      </w:r>
      <w:r>
        <w:t>&gt;</w:t>
      </w:r>
      <w:r>
        <w:rPr>
          <w:rFonts w:hint="eastAsia"/>
        </w:rPr>
        <w:t>的通知》（建会标〔2022〕14号）的要求，由哈尔滨工业大学和北京和信安诚风险管理技术有限公司会同有关单位编制完成。</w:t>
      </w:r>
    </w:p>
    <w:p w:rsidR="001C66B0" w:rsidRDefault="00D005FC">
      <w:pPr>
        <w:pStyle w:val="af7"/>
        <w:spacing w:line="276" w:lineRule="auto"/>
        <w:ind w:firstLine="420"/>
      </w:pPr>
      <w:r>
        <w:rPr>
          <w:rFonts w:hint="eastAsia"/>
        </w:rPr>
        <w:t>本规程制定过程中，编制组经广泛调查研究，认真总结近年来我国建筑工程质量潜在缺陷保险和安全生产责任险风险管理的理论与实践，并在广泛征求意见的基础上，编制了本规范。</w:t>
      </w:r>
    </w:p>
    <w:p w:rsidR="001C66B0" w:rsidRDefault="00D005FC">
      <w:pPr>
        <w:pStyle w:val="af7"/>
        <w:spacing w:line="276" w:lineRule="auto"/>
        <w:ind w:firstLine="420"/>
      </w:pPr>
      <w:r>
        <w:rPr>
          <w:rFonts w:hint="eastAsia"/>
        </w:rPr>
        <w:t>本规范的主要技术内容是：1.总则；2.术语；3.基本规定；4.保险承保及理赔服务；5. 风险管理机构及服务人员管理要求； 6.风险管理服务；7.风险管理评估报告体系；8.保险风险等级评估；9.房屋维修机构资格及管理要求；10.档案管理；11.信息管理平台。</w:t>
      </w:r>
    </w:p>
    <w:p w:rsidR="001C66B0" w:rsidRDefault="00D005FC">
      <w:pPr>
        <w:pStyle w:val="af7"/>
        <w:spacing w:line="276" w:lineRule="auto"/>
        <w:ind w:firstLine="420"/>
      </w:pPr>
      <w:r>
        <w:rPr>
          <w:rFonts w:hint="eastAsia"/>
        </w:rPr>
        <w:t>本规范由中国建筑学会负责管理，由中国建筑学会标准工作委员会负责日常管理，由哈尔滨工业大学、北京和信安诚风险管理技术有限公司负责具体内容的解释，执行过程中如有意见和建议，请寄送北京和信安诚风险管理技术有限公司。</w:t>
      </w:r>
    </w:p>
    <w:p w:rsidR="001C66B0" w:rsidRDefault="00D005FC">
      <w:pPr>
        <w:pStyle w:val="af7"/>
        <w:spacing w:line="276" w:lineRule="auto"/>
        <w:ind w:firstLine="420"/>
      </w:pPr>
      <w:r>
        <w:rPr>
          <w:rFonts w:hint="eastAsia"/>
        </w:rPr>
        <w:t>（地址：北京市西城区西直门外大街1号院1号楼23层，邮编：</w:t>
      </w:r>
      <w:r>
        <w:t>100044</w:t>
      </w:r>
      <w:r>
        <w:rPr>
          <w:rFonts w:hint="eastAsia"/>
        </w:rPr>
        <w:t>，邮箱：tis@hxac-rm.com）</w:t>
      </w:r>
    </w:p>
    <w:p w:rsidR="001C66B0" w:rsidRDefault="00D005FC">
      <w:pPr>
        <w:pStyle w:val="af7"/>
        <w:spacing w:line="276" w:lineRule="auto"/>
        <w:ind w:leftChars="67" w:left="141" w:firstLineChars="135" w:firstLine="283"/>
      </w:pPr>
      <w:r>
        <w:rPr>
          <w:rFonts w:hint="eastAsia"/>
        </w:rPr>
        <w:t>本 规 范 主 编 单 位：哈尔滨工业大学</w:t>
      </w:r>
    </w:p>
    <w:p w:rsidR="001C66B0" w:rsidRDefault="00D005FC">
      <w:pPr>
        <w:pStyle w:val="af7"/>
        <w:spacing w:line="276" w:lineRule="auto"/>
        <w:ind w:left="389" w:firstLineChars="1097" w:firstLine="2304"/>
      </w:pPr>
      <w:r>
        <w:rPr>
          <w:rFonts w:hint="eastAsia"/>
        </w:rPr>
        <w:t>北京和信安诚风险管理技术有限公司</w:t>
      </w:r>
    </w:p>
    <w:p w:rsidR="001C66B0" w:rsidRDefault="00D005FC">
      <w:pPr>
        <w:pStyle w:val="af7"/>
        <w:spacing w:line="276" w:lineRule="auto"/>
        <w:ind w:leftChars="67" w:left="141" w:firstLineChars="135" w:firstLine="283"/>
      </w:pPr>
      <w:r>
        <w:rPr>
          <w:rFonts w:hint="eastAsia"/>
        </w:rPr>
        <w:t>本 规 范 参 编 单 位：</w:t>
      </w:r>
      <w:r>
        <w:t>青岛市住房和城乡建设局</w:t>
      </w:r>
    </w:p>
    <w:p w:rsidR="001C66B0" w:rsidRDefault="00D005FC">
      <w:pPr>
        <w:pStyle w:val="af7"/>
        <w:spacing w:line="276" w:lineRule="auto"/>
        <w:ind w:left="389" w:firstLineChars="1097" w:firstLine="2304"/>
      </w:pPr>
      <w:r>
        <w:rPr>
          <w:rFonts w:hint="eastAsia"/>
        </w:rPr>
        <w:t>崂山区住房和城乡建设局</w:t>
      </w:r>
    </w:p>
    <w:p w:rsidR="001C66B0" w:rsidRDefault="00D005FC">
      <w:pPr>
        <w:pStyle w:val="af7"/>
        <w:spacing w:line="276" w:lineRule="auto"/>
        <w:ind w:left="389" w:firstLineChars="1097" w:firstLine="2304"/>
      </w:pPr>
      <w:r>
        <w:rPr>
          <w:rFonts w:hint="eastAsia"/>
        </w:rPr>
        <w:t>中铁置业集团山东有限公司</w:t>
      </w:r>
    </w:p>
    <w:p w:rsidR="001C66B0" w:rsidRDefault="00D005FC">
      <w:pPr>
        <w:pStyle w:val="af7"/>
        <w:spacing w:line="276" w:lineRule="auto"/>
        <w:ind w:leftChars="1147" w:left="2409" w:firstLineChars="135" w:firstLine="283"/>
      </w:pPr>
      <w:r>
        <w:rPr>
          <w:rFonts w:hint="eastAsia"/>
        </w:rPr>
        <w:t>清华大学</w:t>
      </w:r>
    </w:p>
    <w:p w:rsidR="001C66B0" w:rsidRDefault="00D005FC">
      <w:pPr>
        <w:pStyle w:val="af7"/>
        <w:spacing w:line="276" w:lineRule="auto"/>
        <w:ind w:leftChars="1147" w:left="2409" w:firstLineChars="135" w:firstLine="283"/>
      </w:pPr>
      <w:r>
        <w:rPr>
          <w:rFonts w:hint="eastAsia"/>
        </w:rPr>
        <w:t>应急管理大学</w:t>
      </w:r>
    </w:p>
    <w:p w:rsidR="001C66B0" w:rsidRDefault="00D005FC">
      <w:pPr>
        <w:pStyle w:val="af7"/>
        <w:spacing w:line="276" w:lineRule="auto"/>
        <w:ind w:leftChars="1147" w:left="2409" w:firstLineChars="135" w:firstLine="283"/>
      </w:pPr>
      <w:r>
        <w:rPr>
          <w:rFonts w:hint="eastAsia"/>
        </w:rPr>
        <w:t>青岛市保险行业协会</w:t>
      </w:r>
    </w:p>
    <w:p w:rsidR="001C66B0" w:rsidRDefault="00D005FC">
      <w:pPr>
        <w:pStyle w:val="af7"/>
        <w:spacing w:line="276" w:lineRule="auto"/>
        <w:ind w:leftChars="1147" w:left="2409" w:firstLineChars="135" w:firstLine="283"/>
      </w:pPr>
      <w:r>
        <w:rPr>
          <w:rFonts w:hint="eastAsia"/>
        </w:rPr>
        <w:t>中国人民财产保险股份有限公司青岛市分公司</w:t>
      </w:r>
    </w:p>
    <w:p w:rsidR="001C66B0" w:rsidRDefault="00D005FC">
      <w:pPr>
        <w:pStyle w:val="af7"/>
        <w:spacing w:line="276" w:lineRule="auto"/>
        <w:ind w:leftChars="1147" w:left="2409" w:firstLineChars="135" w:firstLine="283"/>
      </w:pPr>
      <w:r>
        <w:rPr>
          <w:rFonts w:hint="eastAsia"/>
        </w:rPr>
        <w:t>中国平安财产保险股份有限公司青岛分公司</w:t>
      </w:r>
    </w:p>
    <w:p w:rsidR="001C66B0" w:rsidRDefault="00D005FC">
      <w:pPr>
        <w:pStyle w:val="af7"/>
        <w:spacing w:line="276" w:lineRule="auto"/>
        <w:ind w:leftChars="1147" w:left="2409" w:firstLineChars="135" w:firstLine="283"/>
      </w:pPr>
      <w:r>
        <w:rPr>
          <w:rFonts w:hint="eastAsia"/>
        </w:rPr>
        <w:t>中国太平洋财产保险股份有限公司青岛分公司</w:t>
      </w:r>
    </w:p>
    <w:p w:rsidR="001C66B0" w:rsidRDefault="00D005FC">
      <w:pPr>
        <w:pStyle w:val="af7"/>
        <w:spacing w:line="276" w:lineRule="auto"/>
        <w:ind w:leftChars="1147" w:left="2409" w:firstLineChars="135" w:firstLine="283"/>
      </w:pPr>
      <w:r>
        <w:rPr>
          <w:rFonts w:hint="eastAsia"/>
        </w:rPr>
        <w:t>中国人寿财产保险股份有限公司青岛市分公司</w:t>
      </w:r>
    </w:p>
    <w:p w:rsidR="001C66B0" w:rsidRDefault="00D005FC">
      <w:pPr>
        <w:pStyle w:val="af7"/>
        <w:spacing w:line="276" w:lineRule="auto"/>
        <w:ind w:leftChars="1147" w:left="2409" w:firstLineChars="135" w:firstLine="283"/>
      </w:pPr>
      <w:r>
        <w:rPr>
          <w:rFonts w:hint="eastAsia"/>
        </w:rPr>
        <w:t>太平财产保险有限公司青岛分公司</w:t>
      </w:r>
    </w:p>
    <w:p w:rsidR="001C66B0" w:rsidRDefault="00D005FC">
      <w:pPr>
        <w:pStyle w:val="af7"/>
        <w:spacing w:line="276" w:lineRule="auto"/>
        <w:ind w:leftChars="1147" w:left="2409" w:firstLineChars="135" w:firstLine="283"/>
      </w:pPr>
      <w:r>
        <w:rPr>
          <w:rFonts w:hint="eastAsia"/>
        </w:rPr>
        <w:t>中国人寿财产保险股份有限公司河南省分公司</w:t>
      </w:r>
    </w:p>
    <w:p w:rsidR="001C66B0" w:rsidRDefault="00D005FC">
      <w:pPr>
        <w:pStyle w:val="af7"/>
        <w:spacing w:line="276" w:lineRule="auto"/>
        <w:ind w:leftChars="1147" w:left="2409" w:firstLineChars="135" w:firstLine="283"/>
      </w:pPr>
      <w:r>
        <w:rPr>
          <w:rFonts w:hint="eastAsia"/>
        </w:rPr>
        <w:t>法国再保险北京分公司</w:t>
      </w:r>
    </w:p>
    <w:p w:rsidR="001C66B0" w:rsidRDefault="00D005FC">
      <w:pPr>
        <w:pStyle w:val="af7"/>
        <w:spacing w:line="276" w:lineRule="auto"/>
        <w:ind w:leftChars="1147" w:left="2409" w:firstLineChars="135" w:firstLine="283"/>
      </w:pPr>
      <w:r>
        <w:rPr>
          <w:rFonts w:hint="eastAsia"/>
        </w:rPr>
        <w:t>中国财产再保险有限责任公司</w:t>
      </w:r>
    </w:p>
    <w:p w:rsidR="001C66B0" w:rsidRDefault="00D005FC">
      <w:pPr>
        <w:pStyle w:val="af7"/>
        <w:spacing w:line="276" w:lineRule="auto"/>
        <w:ind w:leftChars="1147" w:left="2409" w:firstLineChars="135" w:firstLine="283"/>
      </w:pPr>
      <w:r>
        <w:rPr>
          <w:rFonts w:hint="eastAsia"/>
        </w:rPr>
        <w:t>中冶检测认证有限公司</w:t>
      </w:r>
    </w:p>
    <w:p w:rsidR="001C66B0" w:rsidRDefault="00D005FC">
      <w:pPr>
        <w:pStyle w:val="af7"/>
        <w:spacing w:line="276" w:lineRule="auto"/>
        <w:ind w:leftChars="1147" w:left="2409" w:firstLineChars="135" w:firstLine="283"/>
      </w:pPr>
      <w:r>
        <w:rPr>
          <w:rFonts w:hint="eastAsia"/>
        </w:rPr>
        <w:t>中国建筑科学研究院有限公司</w:t>
      </w:r>
    </w:p>
    <w:p w:rsidR="001C66B0" w:rsidRDefault="00D005FC">
      <w:pPr>
        <w:pStyle w:val="af7"/>
        <w:spacing w:line="276" w:lineRule="auto"/>
        <w:ind w:leftChars="1147" w:left="2409" w:firstLineChars="135" w:firstLine="283"/>
      </w:pPr>
      <w:r>
        <w:rPr>
          <w:rFonts w:hint="eastAsia"/>
        </w:rPr>
        <w:t>青岛越秀地产开发有限公司</w:t>
      </w:r>
    </w:p>
    <w:p w:rsidR="001C66B0" w:rsidRDefault="00D005FC">
      <w:pPr>
        <w:pStyle w:val="af7"/>
        <w:spacing w:line="276" w:lineRule="auto"/>
        <w:ind w:leftChars="1147" w:left="2409" w:firstLineChars="135" w:firstLine="283"/>
      </w:pPr>
      <w:r>
        <w:rPr>
          <w:rFonts w:hint="eastAsia"/>
        </w:rPr>
        <w:t>哈尔滨工业大学建设工程项目管理有限公司</w:t>
      </w:r>
    </w:p>
    <w:p w:rsidR="001C66B0" w:rsidRDefault="00D005FC">
      <w:pPr>
        <w:pStyle w:val="af7"/>
        <w:spacing w:line="276" w:lineRule="auto"/>
        <w:ind w:leftChars="1147" w:left="2409" w:firstLineChars="135" w:firstLine="283"/>
      </w:pPr>
      <w:r>
        <w:rPr>
          <w:rFonts w:hint="eastAsia"/>
        </w:rPr>
        <w:t>中保盛安工程管理咨询有限公司</w:t>
      </w:r>
    </w:p>
    <w:p w:rsidR="001C66B0" w:rsidRDefault="00D005FC">
      <w:pPr>
        <w:pStyle w:val="af7"/>
        <w:spacing w:line="276" w:lineRule="auto"/>
        <w:ind w:leftChars="1147" w:left="2409" w:firstLineChars="135" w:firstLine="283"/>
      </w:pPr>
      <w:r>
        <w:rPr>
          <w:rFonts w:hint="eastAsia"/>
        </w:rPr>
        <w:lastRenderedPageBreak/>
        <w:t>银保信科技（北京）有限公司</w:t>
      </w:r>
    </w:p>
    <w:p w:rsidR="001C66B0" w:rsidRDefault="00D005FC">
      <w:pPr>
        <w:pStyle w:val="af7"/>
        <w:spacing w:line="276" w:lineRule="auto"/>
        <w:ind w:leftChars="1147" w:left="2409" w:firstLineChars="135" w:firstLine="283"/>
      </w:pPr>
      <w:r>
        <w:rPr>
          <w:rFonts w:hint="eastAsia"/>
        </w:rPr>
        <w:t>浙江省柯桥开发经营集团有限公司</w:t>
      </w:r>
    </w:p>
    <w:p w:rsidR="001C66B0" w:rsidRDefault="00D005FC">
      <w:pPr>
        <w:pStyle w:val="af7"/>
        <w:spacing w:line="276" w:lineRule="auto"/>
        <w:ind w:leftChars="270" w:left="2549" w:rightChars="377" w:right="792" w:hangingChars="944" w:hanging="1982"/>
      </w:pPr>
      <w:r>
        <w:rPr>
          <w:rFonts w:hint="eastAsia"/>
        </w:rPr>
        <w:t>本规范主要起草人：</w:t>
      </w:r>
      <w:r>
        <w:t xml:space="preserve"> </w:t>
      </w:r>
      <w:r>
        <w:rPr>
          <w:rFonts w:hint="eastAsia"/>
        </w:rPr>
        <w:t>孙  澄</w:t>
      </w:r>
      <w:r>
        <w:tab/>
      </w:r>
      <w:r>
        <w:rPr>
          <w:rFonts w:hint="eastAsia"/>
        </w:rPr>
        <w:t>马建勇</w:t>
      </w:r>
      <w:r>
        <w:tab/>
      </w:r>
      <w:r>
        <w:rPr>
          <w:rFonts w:hint="eastAsia"/>
        </w:rPr>
        <w:t>戴更新</w:t>
      </w:r>
      <w:r>
        <w:tab/>
      </w:r>
      <w:r>
        <w:rPr>
          <w:rFonts w:hint="eastAsia"/>
        </w:rPr>
        <w:t>段国杰</w:t>
      </w:r>
      <w:r>
        <w:tab/>
      </w:r>
      <w:r>
        <w:rPr>
          <w:rFonts w:hint="eastAsia"/>
        </w:rPr>
        <w:t>陈建国</w:t>
      </w:r>
      <w:r>
        <w:tab/>
      </w:r>
      <w:r>
        <w:rPr>
          <w:rFonts w:hint="eastAsia"/>
        </w:rPr>
        <w:t>秦余国于志国</w:t>
      </w:r>
      <w:r>
        <w:tab/>
      </w:r>
      <w:r>
        <w:rPr>
          <w:rFonts w:hint="eastAsia"/>
        </w:rPr>
        <w:t>解文龙</w:t>
      </w:r>
      <w:r>
        <w:tab/>
      </w:r>
      <w:r>
        <w:rPr>
          <w:rFonts w:hint="eastAsia"/>
        </w:rPr>
        <w:t>黄  强</w:t>
      </w:r>
      <w:r>
        <w:tab/>
      </w:r>
      <w:r>
        <w:rPr>
          <w:rFonts w:hint="eastAsia"/>
        </w:rPr>
        <w:t>郑  凯</w:t>
      </w:r>
      <w:r>
        <w:tab/>
      </w:r>
      <w:r>
        <w:rPr>
          <w:rFonts w:hint="eastAsia"/>
        </w:rPr>
        <w:t>逯  鹏</w:t>
      </w:r>
      <w:r>
        <w:tab/>
      </w:r>
      <w:r>
        <w:rPr>
          <w:rFonts w:hint="eastAsia"/>
        </w:rPr>
        <w:t>王  睿李晓磊</w:t>
      </w:r>
      <w:r>
        <w:tab/>
      </w:r>
      <w:r>
        <w:rPr>
          <w:rFonts w:hint="eastAsia"/>
        </w:rPr>
        <w:t>于  晖</w:t>
      </w:r>
      <w:r>
        <w:tab/>
      </w:r>
      <w:r>
        <w:rPr>
          <w:rFonts w:hint="eastAsia"/>
        </w:rPr>
        <w:t>张  宁</w:t>
      </w:r>
      <w:r>
        <w:tab/>
      </w:r>
      <w:r>
        <w:rPr>
          <w:rFonts w:hint="eastAsia"/>
        </w:rPr>
        <w:t>柴永平</w:t>
      </w:r>
      <w:r>
        <w:tab/>
      </w:r>
      <w:r>
        <w:rPr>
          <w:rFonts w:hint="eastAsia"/>
        </w:rPr>
        <w:t>吕  品</w:t>
      </w:r>
      <w:r>
        <w:tab/>
      </w:r>
      <w:r>
        <w:rPr>
          <w:rFonts w:hint="eastAsia"/>
        </w:rPr>
        <w:t>张天琴李  敏</w:t>
      </w:r>
      <w:r>
        <w:tab/>
      </w:r>
      <w:r>
        <w:rPr>
          <w:rFonts w:hint="eastAsia"/>
        </w:rPr>
        <w:t>刘潇泽</w:t>
      </w:r>
      <w:r>
        <w:tab/>
      </w:r>
      <w:r>
        <w:rPr>
          <w:rFonts w:hint="eastAsia"/>
        </w:rPr>
        <w:t>赵  飞</w:t>
      </w:r>
      <w:r>
        <w:tab/>
      </w:r>
      <w:r>
        <w:rPr>
          <w:rFonts w:hint="eastAsia"/>
        </w:rPr>
        <w:t>吕  航</w:t>
      </w:r>
      <w:r>
        <w:tab/>
      </w:r>
      <w:r>
        <w:rPr>
          <w:rFonts w:hint="eastAsia"/>
        </w:rPr>
        <w:t>张庆和</w:t>
      </w:r>
      <w:r>
        <w:tab/>
      </w:r>
      <w:r>
        <w:rPr>
          <w:rFonts w:hint="eastAsia"/>
        </w:rPr>
        <w:t>夏  达张  忠</w:t>
      </w:r>
      <w:r>
        <w:tab/>
      </w:r>
      <w:r>
        <w:rPr>
          <w:rFonts w:hint="eastAsia"/>
        </w:rPr>
        <w:t>孟  韬</w:t>
      </w:r>
      <w:r>
        <w:tab/>
      </w:r>
      <w:r>
        <w:rPr>
          <w:rFonts w:hint="eastAsia"/>
        </w:rPr>
        <w:t>沈  斌</w:t>
      </w:r>
      <w:r>
        <w:tab/>
      </w:r>
      <w:r>
        <w:rPr>
          <w:rFonts w:hint="eastAsia"/>
        </w:rPr>
        <w:t>廖彬超</w:t>
      </w:r>
      <w:r>
        <w:tab/>
      </w:r>
      <w:r>
        <w:rPr>
          <w:rFonts w:hint="eastAsia"/>
        </w:rPr>
        <w:t>孟玉洁</w:t>
      </w:r>
      <w:r>
        <w:tab/>
      </w:r>
      <w:r>
        <w:rPr>
          <w:rFonts w:hint="eastAsia"/>
        </w:rPr>
        <w:t>张贵成董  力</w:t>
      </w:r>
      <w:r>
        <w:tab/>
      </w:r>
      <w:r>
        <w:rPr>
          <w:rFonts w:hint="eastAsia"/>
        </w:rPr>
        <w:t>任虹鹰</w:t>
      </w:r>
      <w:r>
        <w:tab/>
      </w:r>
      <w:r>
        <w:rPr>
          <w:rFonts w:hint="eastAsia"/>
        </w:rPr>
        <w:t>郑  超</w:t>
      </w:r>
      <w:r>
        <w:tab/>
      </w:r>
      <w:r>
        <w:rPr>
          <w:rFonts w:hint="eastAsia"/>
        </w:rPr>
        <w:t>李传芳</w:t>
      </w:r>
      <w:r>
        <w:tab/>
      </w:r>
      <w:r>
        <w:rPr>
          <w:rFonts w:hint="eastAsia"/>
        </w:rPr>
        <w:t>韩丽丽</w:t>
      </w:r>
      <w:r>
        <w:tab/>
      </w:r>
      <w:r>
        <w:rPr>
          <w:rFonts w:hint="eastAsia"/>
        </w:rPr>
        <w:t>赵成浩刘林民</w:t>
      </w:r>
      <w:r>
        <w:tab/>
      </w:r>
      <w:r>
        <w:rPr>
          <w:rFonts w:hint="eastAsia"/>
        </w:rPr>
        <w:t>程  明</w:t>
      </w:r>
      <w:r>
        <w:tab/>
      </w:r>
      <w:r>
        <w:rPr>
          <w:rFonts w:hint="eastAsia"/>
        </w:rPr>
        <w:t>郝  娜</w:t>
      </w:r>
      <w:r>
        <w:tab/>
      </w:r>
      <w:r>
        <w:rPr>
          <w:rFonts w:hint="eastAsia"/>
        </w:rPr>
        <w:t xml:space="preserve">赵衍柱                 </w:t>
      </w:r>
    </w:p>
    <w:p w:rsidR="001C66B0" w:rsidRDefault="00D005FC">
      <w:pPr>
        <w:pStyle w:val="af7"/>
        <w:spacing w:line="276" w:lineRule="auto"/>
        <w:ind w:leftChars="270" w:left="2549" w:rightChars="377" w:right="792" w:hangingChars="944" w:hanging="1982"/>
      </w:pPr>
      <w:r>
        <w:rPr>
          <w:rFonts w:hint="eastAsia"/>
        </w:rPr>
        <w:t xml:space="preserve">本规范主要审查人：      </w:t>
      </w:r>
    </w:p>
    <w:p w:rsidR="001C66B0" w:rsidRDefault="00D005FC">
      <w:pPr>
        <w:pStyle w:val="af7"/>
        <w:spacing w:line="276" w:lineRule="auto"/>
        <w:ind w:leftChars="200" w:left="2625" w:hangingChars="1050" w:hanging="2205"/>
      </w:pP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p>
    <w:p w:rsidR="001C66B0" w:rsidRDefault="00D005FC">
      <w:pPr>
        <w:pStyle w:val="af7"/>
        <w:spacing w:line="276" w:lineRule="auto"/>
        <w:ind w:firstLine="420"/>
      </w:pP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hint="eastAsia"/>
        </w:rPr>
        <w:t xml:space="preserve">  </w:t>
      </w:r>
    </w:p>
    <w:p w:rsidR="001C66B0" w:rsidRDefault="00D005FC">
      <w:pPr>
        <w:jc w:val="center"/>
      </w:pPr>
      <w:r>
        <w:br w:type="page"/>
      </w:r>
      <w:bookmarkEnd w:id="2"/>
      <w:bookmarkEnd w:id="3"/>
      <w:bookmarkEnd w:id="4"/>
    </w:p>
    <w:sdt>
      <w:sdtPr>
        <w:rPr>
          <w:b/>
          <w:bCs/>
          <w:lang w:val="zh-CN"/>
        </w:rPr>
        <w:id w:val="925540350"/>
        <w:docPartObj>
          <w:docPartGallery w:val="Table of Contents"/>
          <w:docPartUnique/>
        </w:docPartObj>
      </w:sdtPr>
      <w:sdtEndPr>
        <w:rPr>
          <w:rFonts w:ascii="宋体" w:eastAsia="宋体" w:hAnsi="宋体"/>
        </w:rPr>
      </w:sdtEndPr>
      <w:sdtContent>
        <w:p w:rsidR="001C66B0" w:rsidRDefault="00D005FC">
          <w:pPr>
            <w:jc w:val="center"/>
            <w:rPr>
              <w:rFonts w:ascii="黑体" w:eastAsia="黑体" w:hAnsi="Times New Roman" w:cs="Times New Roman"/>
              <w:spacing w:val="320"/>
              <w:kern w:val="0"/>
              <w:sz w:val="32"/>
              <w:szCs w:val="20"/>
            </w:rPr>
          </w:pPr>
          <w:r>
            <w:rPr>
              <w:rFonts w:hint="eastAsia"/>
              <w:b/>
              <w:bCs/>
              <w:lang w:val="zh-CN"/>
            </w:rPr>
            <w:t xml:space="preserve">     </w:t>
          </w:r>
          <w:r>
            <w:rPr>
              <w:rFonts w:ascii="黑体" w:eastAsia="黑体" w:hAnsi="Times New Roman" w:cs="Times New Roman"/>
              <w:spacing w:val="320"/>
              <w:kern w:val="0"/>
              <w:sz w:val="32"/>
              <w:szCs w:val="20"/>
            </w:rPr>
            <w:t>目</w:t>
          </w:r>
          <w:r>
            <w:rPr>
              <w:rFonts w:ascii="黑体" w:eastAsia="黑体" w:hAnsi="Times New Roman" w:cs="Times New Roman" w:hint="eastAsia"/>
              <w:spacing w:val="320"/>
              <w:kern w:val="0"/>
              <w:sz w:val="32"/>
              <w:szCs w:val="20"/>
            </w:rPr>
            <w:t>次</w:t>
          </w:r>
        </w:p>
        <w:p w:rsidR="001C66B0" w:rsidRDefault="001C66B0">
          <w:pPr>
            <w:jc w:val="center"/>
            <w:rPr>
              <w:b/>
            </w:rPr>
          </w:pPr>
        </w:p>
        <w:p w:rsidR="001C66B0" w:rsidRDefault="000F24AC">
          <w:pPr>
            <w:pStyle w:val="10"/>
            <w:tabs>
              <w:tab w:val="left" w:pos="420"/>
              <w:tab w:val="right" w:leader="dot" w:pos="8296"/>
            </w:tabs>
            <w:spacing w:line="276" w:lineRule="auto"/>
            <w:rPr>
              <w:rFonts w:asciiTheme="minorEastAsia" w:hAnsiTheme="minorEastAsia"/>
              <w:b/>
              <w:bCs/>
              <w:sz w:val="22"/>
              <w:szCs w:val="24"/>
            </w:rPr>
          </w:pPr>
          <w:r>
            <w:rPr>
              <w:rFonts w:asciiTheme="minorEastAsia" w:hAnsiTheme="minorEastAsia"/>
              <w:b/>
              <w:bCs/>
            </w:rPr>
            <w:fldChar w:fldCharType="begin"/>
          </w:r>
          <w:r w:rsidR="00D005FC">
            <w:rPr>
              <w:rFonts w:asciiTheme="minorEastAsia" w:hAnsiTheme="minorEastAsia"/>
              <w:b/>
              <w:bCs/>
            </w:rPr>
            <w:instrText xml:space="preserve"> TOC \o "1-2" \h \z \u </w:instrText>
          </w:r>
          <w:r>
            <w:rPr>
              <w:rFonts w:asciiTheme="minorEastAsia" w:hAnsiTheme="minorEastAsia"/>
              <w:b/>
              <w:bCs/>
            </w:rPr>
            <w:fldChar w:fldCharType="separate"/>
          </w:r>
          <w:hyperlink w:anchor="_Toc176713642" w:history="1">
            <w:r w:rsidR="00D005FC">
              <w:rPr>
                <w:rStyle w:val="af3"/>
                <w:rFonts w:asciiTheme="minorEastAsia" w:hAnsiTheme="minorEastAsia" w:hint="eastAsia"/>
                <w:b/>
                <w:bCs/>
              </w:rPr>
              <w:t>1</w:t>
            </w:r>
            <w:r w:rsidR="00D005FC">
              <w:rPr>
                <w:rFonts w:asciiTheme="minorEastAsia" w:hAnsiTheme="minorEastAsia" w:hint="eastAsia"/>
                <w:b/>
                <w:bCs/>
                <w:sz w:val="22"/>
                <w:szCs w:val="24"/>
              </w:rPr>
              <w:tab/>
            </w:r>
            <w:r w:rsidR="00D005FC">
              <w:rPr>
                <w:rStyle w:val="af3"/>
                <w:rFonts w:asciiTheme="minorEastAsia" w:hAnsiTheme="minorEastAsia" w:hint="eastAsia"/>
                <w:b/>
                <w:bCs/>
              </w:rPr>
              <w:t>总则</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43" w:history="1">
            <w:r w:rsidR="00D005FC">
              <w:rPr>
                <w:rStyle w:val="af3"/>
                <w:rFonts w:asciiTheme="minorEastAsia" w:hAnsiTheme="minorEastAsia" w:hint="eastAsia"/>
                <w:b/>
                <w:bCs/>
              </w:rPr>
              <w:t>2</w:t>
            </w:r>
            <w:r w:rsidR="00D005FC">
              <w:rPr>
                <w:rFonts w:asciiTheme="minorEastAsia" w:hAnsiTheme="minorEastAsia" w:hint="eastAsia"/>
                <w:b/>
                <w:bCs/>
                <w:sz w:val="22"/>
                <w:szCs w:val="24"/>
              </w:rPr>
              <w:tab/>
            </w:r>
            <w:r w:rsidR="00D005FC">
              <w:rPr>
                <w:rStyle w:val="af3"/>
                <w:rFonts w:asciiTheme="minorEastAsia" w:hAnsiTheme="minorEastAsia" w:hint="eastAsia"/>
                <w:b/>
                <w:bCs/>
              </w:rPr>
              <w:t>术语</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44" w:history="1">
            <w:r w:rsidR="00D005FC">
              <w:rPr>
                <w:rStyle w:val="af3"/>
                <w:rFonts w:asciiTheme="minorEastAsia" w:hAnsiTheme="minorEastAsia" w:hint="eastAsia"/>
                <w:b/>
                <w:bCs/>
              </w:rPr>
              <w:t>3</w:t>
            </w:r>
            <w:r w:rsidR="00D005FC">
              <w:rPr>
                <w:rFonts w:asciiTheme="minorEastAsia" w:hAnsiTheme="minorEastAsia" w:hint="eastAsia"/>
                <w:b/>
                <w:bCs/>
                <w:sz w:val="22"/>
                <w:szCs w:val="24"/>
              </w:rPr>
              <w:tab/>
            </w:r>
            <w:r w:rsidR="00D005FC">
              <w:rPr>
                <w:rStyle w:val="af3"/>
                <w:rFonts w:asciiTheme="minorEastAsia" w:hAnsiTheme="minorEastAsia" w:hint="eastAsia"/>
                <w:b/>
                <w:bCs/>
              </w:rPr>
              <w:t>基本规定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45" w:history="1">
            <w:r w:rsidR="00D005FC">
              <w:rPr>
                <w:rStyle w:val="af3"/>
                <w:rFonts w:asciiTheme="minorEastAsia" w:hAnsiTheme="minorEastAsia" w:hint="eastAsia"/>
                <w:b/>
                <w:bCs/>
              </w:rPr>
              <w:t>3.1</w:t>
            </w:r>
            <w:r w:rsidR="00D005FC">
              <w:rPr>
                <w:rFonts w:asciiTheme="minorEastAsia" w:hAnsiTheme="minorEastAsia" w:hint="eastAsia"/>
                <w:b/>
                <w:bCs/>
                <w:sz w:val="22"/>
              </w:rPr>
              <w:tab/>
            </w:r>
            <w:r w:rsidR="00D005FC">
              <w:rPr>
                <w:rStyle w:val="af3"/>
                <w:rFonts w:asciiTheme="minorEastAsia" w:hAnsiTheme="minorEastAsia" w:hint="eastAsia"/>
                <w:b/>
                <w:bCs/>
              </w:rPr>
              <w:t>基本原则</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46" w:history="1">
            <w:r w:rsidR="00D005FC">
              <w:rPr>
                <w:rStyle w:val="af3"/>
                <w:rFonts w:asciiTheme="minorEastAsia" w:hAnsiTheme="minorEastAsia" w:hint="eastAsia"/>
                <w:b/>
                <w:bCs/>
              </w:rPr>
              <w:t>3.2</w:t>
            </w:r>
            <w:r w:rsidR="00D005FC">
              <w:rPr>
                <w:rFonts w:asciiTheme="minorEastAsia" w:hAnsiTheme="minorEastAsia" w:hint="eastAsia"/>
                <w:b/>
                <w:bCs/>
                <w:sz w:val="22"/>
              </w:rPr>
              <w:tab/>
            </w:r>
            <w:r w:rsidR="00D005FC">
              <w:rPr>
                <w:rStyle w:val="af3"/>
                <w:rFonts w:asciiTheme="minorEastAsia" w:hAnsiTheme="minorEastAsia" w:hint="eastAsia"/>
                <w:b/>
                <w:bCs/>
              </w:rPr>
              <w:t>各方工作职责</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47" w:history="1">
            <w:r w:rsidR="00D005FC">
              <w:rPr>
                <w:rStyle w:val="af3"/>
                <w:rFonts w:asciiTheme="minorEastAsia" w:hAnsiTheme="minorEastAsia" w:hint="eastAsia"/>
                <w:b/>
                <w:bCs/>
              </w:rPr>
              <w:t>3.3</w:t>
            </w:r>
            <w:r w:rsidR="00D005FC">
              <w:rPr>
                <w:rFonts w:asciiTheme="minorEastAsia" w:hAnsiTheme="minorEastAsia" w:hint="eastAsia"/>
                <w:b/>
                <w:bCs/>
                <w:sz w:val="22"/>
              </w:rPr>
              <w:tab/>
            </w:r>
            <w:r w:rsidR="00D005FC">
              <w:rPr>
                <w:rStyle w:val="af3"/>
                <w:rFonts w:asciiTheme="minorEastAsia" w:hAnsiTheme="minorEastAsia" w:hint="eastAsia"/>
                <w:b/>
                <w:bCs/>
              </w:rPr>
              <w:t>保险合同签订</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4</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48" w:history="1">
            <w:r w:rsidR="00D005FC">
              <w:rPr>
                <w:rStyle w:val="af3"/>
                <w:rFonts w:asciiTheme="minorEastAsia" w:hAnsiTheme="minorEastAsia" w:cs="仿宋_GB2312" w:hint="eastAsia"/>
                <w:b/>
                <w:bCs/>
              </w:rPr>
              <w:t>3.4</w:t>
            </w:r>
            <w:r w:rsidR="00D005FC">
              <w:rPr>
                <w:rFonts w:asciiTheme="minorEastAsia" w:hAnsiTheme="minorEastAsia" w:hint="eastAsia"/>
                <w:b/>
                <w:bCs/>
                <w:sz w:val="22"/>
              </w:rPr>
              <w:tab/>
            </w:r>
            <w:r w:rsidR="00D005FC">
              <w:rPr>
                <w:rStyle w:val="af3"/>
                <w:rFonts w:asciiTheme="minorEastAsia" w:hAnsiTheme="minorEastAsia" w:hint="eastAsia"/>
                <w:b/>
                <w:bCs/>
              </w:rPr>
              <w:t>风险管理机构委托</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4</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49" w:history="1">
            <w:r w:rsidR="00D005FC">
              <w:rPr>
                <w:rStyle w:val="af3"/>
                <w:rFonts w:asciiTheme="minorEastAsia" w:hAnsiTheme="minorEastAsia" w:hint="eastAsia"/>
                <w:b/>
                <w:bCs/>
              </w:rPr>
              <w:t>4</w:t>
            </w:r>
            <w:r w:rsidR="00D005FC">
              <w:rPr>
                <w:rFonts w:asciiTheme="minorEastAsia" w:hAnsiTheme="minorEastAsia" w:hint="eastAsia"/>
                <w:b/>
                <w:bCs/>
                <w:sz w:val="22"/>
                <w:szCs w:val="24"/>
              </w:rPr>
              <w:tab/>
            </w:r>
            <w:r w:rsidR="00D005FC">
              <w:rPr>
                <w:rStyle w:val="af3"/>
                <w:rFonts w:asciiTheme="minorEastAsia" w:hAnsiTheme="minorEastAsia" w:hint="eastAsia"/>
                <w:b/>
                <w:bCs/>
              </w:rPr>
              <w:t>保险承保及理赔服务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_Toc176713649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0" w:history="1">
            <w:r w:rsidR="00D005FC">
              <w:rPr>
                <w:rStyle w:val="af3"/>
                <w:rFonts w:asciiTheme="minorEastAsia" w:hAnsiTheme="minorEastAsia" w:hint="eastAsia"/>
                <w:b/>
                <w:bCs/>
              </w:rPr>
              <w:t>4.1</w:t>
            </w:r>
            <w:r w:rsidR="00D005FC">
              <w:rPr>
                <w:rFonts w:asciiTheme="minorEastAsia" w:hAnsiTheme="minorEastAsia" w:hint="eastAsia"/>
                <w:b/>
                <w:bCs/>
                <w:sz w:val="22"/>
              </w:rPr>
              <w:tab/>
            </w:r>
            <w:r w:rsidR="00D005FC">
              <w:rPr>
                <w:rStyle w:val="af3"/>
                <w:rFonts w:asciiTheme="minorEastAsia" w:hAnsiTheme="minorEastAsia" w:hint="eastAsia"/>
                <w:b/>
                <w:bCs/>
              </w:rPr>
              <w:t>承保要求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1" w:history="1">
            <w:r w:rsidR="00D005FC">
              <w:rPr>
                <w:rStyle w:val="af3"/>
                <w:rFonts w:asciiTheme="minorEastAsia" w:hAnsiTheme="minorEastAsia" w:hint="eastAsia"/>
                <w:b/>
                <w:bCs/>
              </w:rPr>
              <w:t>4.2</w:t>
            </w:r>
            <w:r w:rsidR="00D005FC">
              <w:rPr>
                <w:rFonts w:asciiTheme="minorEastAsia" w:hAnsiTheme="minorEastAsia" w:hint="eastAsia"/>
                <w:b/>
                <w:bCs/>
                <w:sz w:val="22"/>
              </w:rPr>
              <w:tab/>
            </w:r>
            <w:r w:rsidR="00D005FC">
              <w:rPr>
                <w:rStyle w:val="af3"/>
                <w:rFonts w:asciiTheme="minorEastAsia" w:hAnsiTheme="minorEastAsia" w:hint="eastAsia"/>
                <w:b/>
                <w:bCs/>
              </w:rPr>
              <w:t>理赔要求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8</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52" w:history="1">
            <w:r w:rsidR="00D005FC">
              <w:rPr>
                <w:rStyle w:val="af3"/>
                <w:rFonts w:asciiTheme="minorEastAsia" w:hAnsiTheme="minorEastAsia" w:hint="eastAsia"/>
                <w:b/>
                <w:bCs/>
              </w:rPr>
              <w:t>5</w:t>
            </w:r>
            <w:r w:rsidR="00D005FC">
              <w:rPr>
                <w:rFonts w:asciiTheme="minorEastAsia" w:hAnsiTheme="minorEastAsia" w:hint="eastAsia"/>
                <w:b/>
                <w:bCs/>
                <w:sz w:val="22"/>
                <w:szCs w:val="24"/>
              </w:rPr>
              <w:tab/>
            </w:r>
            <w:r w:rsidR="00D005FC">
              <w:rPr>
                <w:rStyle w:val="af3"/>
                <w:rFonts w:asciiTheme="minorEastAsia" w:hAnsiTheme="minorEastAsia" w:hint="eastAsia"/>
                <w:b/>
                <w:bCs/>
              </w:rPr>
              <w:t>风险管理机构及服务人员管理要求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10</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3" w:history="1">
            <w:r w:rsidR="00D005FC">
              <w:rPr>
                <w:rStyle w:val="af3"/>
                <w:rFonts w:asciiTheme="minorEastAsia" w:hAnsiTheme="minorEastAsia" w:hint="eastAsia"/>
                <w:b/>
                <w:bCs/>
              </w:rPr>
              <w:t>5.1</w:t>
            </w:r>
            <w:r w:rsidR="00D005FC">
              <w:rPr>
                <w:rFonts w:asciiTheme="minorEastAsia" w:hAnsiTheme="minorEastAsia" w:hint="eastAsia"/>
                <w:b/>
                <w:bCs/>
                <w:sz w:val="22"/>
              </w:rPr>
              <w:tab/>
            </w:r>
            <w:r w:rsidR="00D005FC">
              <w:rPr>
                <w:rStyle w:val="af3"/>
                <w:rFonts w:asciiTheme="minorEastAsia" w:hAnsiTheme="minorEastAsia" w:hint="eastAsia"/>
                <w:b/>
                <w:bCs/>
              </w:rPr>
              <w:t>风险管理机构资格及管理要求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10</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4" w:history="1">
            <w:r w:rsidR="00D005FC">
              <w:rPr>
                <w:rStyle w:val="af3"/>
                <w:rFonts w:asciiTheme="minorEastAsia" w:hAnsiTheme="minorEastAsia" w:hint="eastAsia"/>
                <w:b/>
                <w:bCs/>
              </w:rPr>
              <w:t>5.2</w:t>
            </w:r>
            <w:r w:rsidR="00D005FC">
              <w:rPr>
                <w:rFonts w:asciiTheme="minorEastAsia" w:hAnsiTheme="minorEastAsia" w:hint="eastAsia"/>
                <w:b/>
                <w:bCs/>
                <w:sz w:val="22"/>
              </w:rPr>
              <w:tab/>
            </w:r>
            <w:r w:rsidR="00D005FC">
              <w:rPr>
                <w:rStyle w:val="af3"/>
                <w:rFonts w:asciiTheme="minorEastAsia" w:hAnsiTheme="minorEastAsia" w:hint="eastAsia"/>
                <w:b/>
                <w:bCs/>
              </w:rPr>
              <w:t>风险管理服务人员要求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10</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55" w:history="1">
            <w:r w:rsidR="00D005FC">
              <w:rPr>
                <w:rStyle w:val="af3"/>
                <w:rFonts w:asciiTheme="minorEastAsia" w:hAnsiTheme="minorEastAsia" w:hint="eastAsia"/>
                <w:b/>
                <w:bCs/>
              </w:rPr>
              <w:t>6</w:t>
            </w:r>
            <w:r w:rsidR="00D005FC">
              <w:rPr>
                <w:rFonts w:asciiTheme="minorEastAsia" w:hAnsiTheme="minorEastAsia" w:hint="eastAsia"/>
                <w:b/>
                <w:bCs/>
                <w:sz w:val="22"/>
                <w:szCs w:val="24"/>
              </w:rPr>
              <w:tab/>
            </w:r>
            <w:r w:rsidR="00D005FC">
              <w:rPr>
                <w:rStyle w:val="af3"/>
                <w:rFonts w:asciiTheme="minorEastAsia" w:hAnsiTheme="minorEastAsia" w:hint="eastAsia"/>
                <w:b/>
                <w:bCs/>
              </w:rPr>
              <w:t>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14</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6" w:history="1">
            <w:r w:rsidR="00D005FC">
              <w:rPr>
                <w:rStyle w:val="af3"/>
                <w:rFonts w:asciiTheme="minorEastAsia" w:hAnsiTheme="minorEastAsia" w:hint="eastAsia"/>
                <w:b/>
                <w:bCs/>
              </w:rPr>
              <w:t>6.1</w:t>
            </w:r>
            <w:r w:rsidR="00D005FC">
              <w:rPr>
                <w:rFonts w:asciiTheme="minorEastAsia" w:hAnsiTheme="minorEastAsia" w:hint="eastAsia"/>
                <w:b/>
                <w:bCs/>
                <w:sz w:val="22"/>
              </w:rPr>
              <w:tab/>
            </w:r>
            <w:r w:rsidR="00D005FC">
              <w:rPr>
                <w:rStyle w:val="af3"/>
                <w:rFonts w:asciiTheme="minorEastAsia" w:hAnsiTheme="minorEastAsia" w:hint="eastAsia"/>
                <w:b/>
                <w:bCs/>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14</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7" w:history="1">
            <w:r w:rsidR="00D005FC">
              <w:rPr>
                <w:rStyle w:val="af3"/>
                <w:rFonts w:asciiTheme="minorEastAsia" w:hAnsiTheme="minorEastAsia" w:hint="eastAsia"/>
                <w:b/>
                <w:bCs/>
              </w:rPr>
              <w:t>6.2</w:t>
            </w:r>
            <w:r w:rsidR="00D005FC">
              <w:rPr>
                <w:rFonts w:asciiTheme="minorEastAsia" w:hAnsiTheme="minorEastAsia" w:hint="eastAsia"/>
                <w:b/>
                <w:bCs/>
                <w:sz w:val="22"/>
              </w:rPr>
              <w:tab/>
            </w:r>
            <w:r w:rsidR="00D005FC">
              <w:rPr>
                <w:rStyle w:val="af3"/>
                <w:rFonts w:asciiTheme="minorEastAsia" w:hAnsiTheme="minorEastAsia" w:hint="eastAsia"/>
                <w:b/>
                <w:bCs/>
              </w:rPr>
              <w:t>工作依据</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14</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8" w:history="1">
            <w:r w:rsidR="00D005FC">
              <w:rPr>
                <w:rStyle w:val="af3"/>
                <w:rFonts w:asciiTheme="minorEastAsia" w:hAnsiTheme="minorEastAsia" w:hint="eastAsia"/>
                <w:b/>
                <w:bCs/>
              </w:rPr>
              <w:t>6.3</w:t>
            </w:r>
            <w:r w:rsidR="00D005FC">
              <w:rPr>
                <w:rFonts w:asciiTheme="minorEastAsia" w:hAnsiTheme="minorEastAsia" w:hint="eastAsia"/>
                <w:b/>
                <w:bCs/>
                <w:sz w:val="22"/>
              </w:rPr>
              <w:tab/>
            </w:r>
            <w:r w:rsidR="00D005FC">
              <w:rPr>
                <w:rStyle w:val="af3"/>
                <w:rFonts w:asciiTheme="minorEastAsia" w:hAnsiTheme="minorEastAsia" w:hint="eastAsia"/>
                <w:b/>
                <w:bCs/>
              </w:rPr>
              <w:t>检查工作方法</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15</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59" w:history="1">
            <w:r w:rsidR="00D005FC">
              <w:rPr>
                <w:rStyle w:val="af3"/>
                <w:rFonts w:asciiTheme="minorEastAsia" w:hAnsiTheme="minorEastAsia" w:hint="eastAsia"/>
                <w:b/>
                <w:bCs/>
              </w:rPr>
              <w:t>6.4</w:t>
            </w:r>
            <w:r w:rsidR="00D005FC">
              <w:rPr>
                <w:rFonts w:asciiTheme="minorEastAsia" w:hAnsiTheme="minorEastAsia" w:hint="eastAsia"/>
                <w:b/>
                <w:bCs/>
                <w:sz w:val="22"/>
              </w:rPr>
              <w:tab/>
            </w:r>
            <w:r w:rsidR="00D005FC">
              <w:rPr>
                <w:rStyle w:val="af3"/>
                <w:rFonts w:asciiTheme="minorEastAsia" w:hAnsiTheme="minorEastAsia" w:hint="eastAsia"/>
                <w:b/>
                <w:bCs/>
              </w:rPr>
              <w:t>勘察设计阶段风险管理服务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_Toc176713659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15</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0" w:history="1">
            <w:r w:rsidR="00D005FC">
              <w:rPr>
                <w:rStyle w:val="af3"/>
                <w:rFonts w:asciiTheme="minorEastAsia" w:hAnsiTheme="minorEastAsia" w:hint="eastAsia"/>
                <w:b/>
                <w:bCs/>
              </w:rPr>
              <w:t>6.5</w:t>
            </w:r>
            <w:r w:rsidR="00D005FC">
              <w:rPr>
                <w:rFonts w:asciiTheme="minorEastAsia" w:hAnsiTheme="minorEastAsia" w:hint="eastAsia"/>
                <w:b/>
                <w:bCs/>
                <w:sz w:val="22"/>
              </w:rPr>
              <w:tab/>
            </w:r>
            <w:r w:rsidR="00D005FC">
              <w:rPr>
                <w:rStyle w:val="af3"/>
                <w:rFonts w:asciiTheme="minorEastAsia" w:hAnsiTheme="minorEastAsia" w:hint="eastAsia"/>
                <w:b/>
                <w:bCs/>
              </w:rPr>
              <w:t>施工阶段风险管理服务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16</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1" w:history="1">
            <w:r w:rsidR="00D005FC">
              <w:rPr>
                <w:rStyle w:val="af3"/>
                <w:rFonts w:asciiTheme="minorEastAsia" w:hAnsiTheme="minorEastAsia" w:hint="eastAsia"/>
                <w:b/>
                <w:bCs/>
              </w:rPr>
              <w:t>6.6</w:t>
            </w:r>
            <w:r w:rsidR="00D005FC">
              <w:rPr>
                <w:rFonts w:asciiTheme="minorEastAsia" w:hAnsiTheme="minorEastAsia" w:hint="eastAsia"/>
                <w:b/>
                <w:bCs/>
                <w:sz w:val="22"/>
              </w:rPr>
              <w:tab/>
            </w:r>
            <w:r w:rsidR="00D005FC">
              <w:rPr>
                <w:rStyle w:val="af3"/>
                <w:rFonts w:asciiTheme="minorEastAsia" w:hAnsiTheme="minorEastAsia" w:hint="eastAsia"/>
                <w:b/>
                <w:bCs/>
              </w:rPr>
              <w:t>竣工阶段风险管理服务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18</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2" w:history="1">
            <w:r w:rsidR="00D005FC">
              <w:rPr>
                <w:rStyle w:val="af3"/>
                <w:rFonts w:asciiTheme="minorEastAsia" w:hAnsiTheme="minorEastAsia" w:hint="eastAsia"/>
                <w:b/>
                <w:bCs/>
              </w:rPr>
              <w:t>6.7</w:t>
            </w:r>
            <w:r w:rsidR="00D005FC">
              <w:rPr>
                <w:rFonts w:asciiTheme="minorEastAsia" w:hAnsiTheme="minorEastAsia" w:hint="eastAsia"/>
                <w:b/>
                <w:bCs/>
                <w:sz w:val="22"/>
              </w:rPr>
              <w:tab/>
            </w:r>
            <w:r w:rsidR="00D005FC">
              <w:rPr>
                <w:rStyle w:val="af3"/>
                <w:rFonts w:asciiTheme="minorEastAsia" w:hAnsiTheme="minorEastAsia" w:hint="eastAsia"/>
                <w:b/>
                <w:bCs/>
              </w:rPr>
              <w:t>回访阶段风险管理服务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18</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3" w:history="1">
            <w:r w:rsidR="00D005FC">
              <w:rPr>
                <w:rStyle w:val="af3"/>
                <w:rFonts w:asciiTheme="minorEastAsia" w:hAnsiTheme="minorEastAsia" w:hint="eastAsia"/>
                <w:b/>
                <w:bCs/>
              </w:rPr>
              <w:t>6.8</w:t>
            </w:r>
            <w:r w:rsidR="00D005FC">
              <w:rPr>
                <w:rFonts w:asciiTheme="minorEastAsia" w:hAnsiTheme="minorEastAsia" w:hint="eastAsia"/>
                <w:b/>
                <w:bCs/>
                <w:sz w:val="22"/>
              </w:rPr>
              <w:tab/>
            </w:r>
            <w:r w:rsidR="00D005FC">
              <w:rPr>
                <w:rStyle w:val="af3"/>
                <w:rFonts w:asciiTheme="minorEastAsia" w:hAnsiTheme="minorEastAsia" w:hint="eastAsia"/>
                <w:b/>
                <w:bCs/>
              </w:rPr>
              <w:t>整改跟踪管理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19</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64" w:history="1">
            <w:r w:rsidR="00D005FC">
              <w:rPr>
                <w:rStyle w:val="af3"/>
                <w:rFonts w:asciiTheme="minorEastAsia" w:hAnsiTheme="minorEastAsia" w:hint="eastAsia"/>
                <w:b/>
                <w:bCs/>
              </w:rPr>
              <w:t>7</w:t>
            </w:r>
            <w:r w:rsidR="00D005FC">
              <w:rPr>
                <w:rFonts w:asciiTheme="minorEastAsia" w:hAnsiTheme="minorEastAsia" w:hint="eastAsia"/>
                <w:b/>
                <w:bCs/>
                <w:sz w:val="22"/>
                <w:szCs w:val="24"/>
              </w:rPr>
              <w:tab/>
            </w:r>
            <w:r w:rsidR="00D005FC">
              <w:rPr>
                <w:rStyle w:val="af3"/>
                <w:rFonts w:asciiTheme="minorEastAsia" w:hAnsiTheme="minorEastAsia" w:hint="eastAsia"/>
                <w:b/>
                <w:bCs/>
              </w:rPr>
              <w:t>风险管理评估报告体系</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21</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5" w:history="1">
            <w:r w:rsidR="00D005FC">
              <w:rPr>
                <w:rStyle w:val="af3"/>
                <w:rFonts w:asciiTheme="minorEastAsia" w:hAnsiTheme="minorEastAsia" w:hint="eastAsia"/>
                <w:b/>
                <w:bCs/>
              </w:rPr>
              <w:t>7.1</w:t>
            </w:r>
            <w:r w:rsidR="00D005FC">
              <w:rPr>
                <w:rFonts w:asciiTheme="minorEastAsia" w:hAnsiTheme="minorEastAsia" w:hint="eastAsia"/>
                <w:b/>
                <w:bCs/>
                <w:sz w:val="22"/>
              </w:rPr>
              <w:tab/>
            </w:r>
            <w:r w:rsidR="00D005FC">
              <w:rPr>
                <w:rStyle w:val="af3"/>
                <w:rFonts w:asciiTheme="minorEastAsia" w:hAnsiTheme="minorEastAsia" w:hint="eastAsia"/>
                <w:b/>
                <w:bCs/>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21</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6" w:history="1">
            <w:r w:rsidR="00D005FC">
              <w:rPr>
                <w:rStyle w:val="af3"/>
                <w:rFonts w:asciiTheme="minorEastAsia" w:hAnsiTheme="minorEastAsia" w:hint="eastAsia"/>
                <w:b/>
                <w:bCs/>
              </w:rPr>
              <w:t>7.2</w:t>
            </w:r>
            <w:r w:rsidR="00D005FC">
              <w:rPr>
                <w:rFonts w:asciiTheme="minorEastAsia" w:hAnsiTheme="minorEastAsia" w:hint="eastAsia"/>
                <w:b/>
                <w:bCs/>
                <w:sz w:val="22"/>
              </w:rPr>
              <w:tab/>
            </w:r>
            <w:r w:rsidR="00D005FC">
              <w:rPr>
                <w:rStyle w:val="af3"/>
                <w:rFonts w:asciiTheme="minorEastAsia" w:hAnsiTheme="minorEastAsia" w:hint="eastAsia"/>
                <w:b/>
                <w:bCs/>
              </w:rPr>
              <w:t>报告名称和基本内容</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21</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67" w:history="1">
            <w:r w:rsidR="00D005FC">
              <w:rPr>
                <w:rStyle w:val="af3"/>
                <w:rFonts w:asciiTheme="minorEastAsia" w:hAnsiTheme="minorEastAsia" w:hint="eastAsia"/>
                <w:b/>
                <w:bCs/>
              </w:rPr>
              <w:t>8</w:t>
            </w:r>
            <w:r w:rsidR="00D005FC">
              <w:rPr>
                <w:rFonts w:asciiTheme="minorEastAsia" w:hAnsiTheme="minorEastAsia" w:hint="eastAsia"/>
                <w:b/>
                <w:bCs/>
                <w:sz w:val="22"/>
                <w:szCs w:val="24"/>
              </w:rPr>
              <w:tab/>
            </w:r>
            <w:r w:rsidR="00D005FC">
              <w:rPr>
                <w:rStyle w:val="af3"/>
                <w:rFonts w:asciiTheme="minorEastAsia" w:hAnsiTheme="minorEastAsia" w:hint="eastAsia"/>
                <w:b/>
                <w:bCs/>
              </w:rPr>
              <w:t>保险风险等级评估</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25</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8" w:history="1">
            <w:r w:rsidR="00D005FC">
              <w:rPr>
                <w:rStyle w:val="af3"/>
                <w:rFonts w:asciiTheme="minorEastAsia" w:hAnsiTheme="minorEastAsia" w:hint="eastAsia"/>
                <w:b/>
                <w:bCs/>
              </w:rPr>
              <w:t>8.1</w:t>
            </w:r>
            <w:r w:rsidR="00D005FC">
              <w:rPr>
                <w:rFonts w:asciiTheme="minorEastAsia" w:hAnsiTheme="minorEastAsia" w:hint="eastAsia"/>
                <w:b/>
                <w:bCs/>
                <w:sz w:val="22"/>
              </w:rPr>
              <w:tab/>
            </w:r>
            <w:r w:rsidR="00D005FC">
              <w:rPr>
                <w:rStyle w:val="af3"/>
                <w:rFonts w:asciiTheme="minorEastAsia" w:hAnsiTheme="minorEastAsia" w:hint="eastAsia"/>
                <w:b/>
                <w:bCs/>
              </w:rPr>
              <w:t>保险风险评估方法</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25</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69" w:history="1">
            <w:r w:rsidR="00D005FC">
              <w:rPr>
                <w:rStyle w:val="af3"/>
                <w:rFonts w:asciiTheme="minorEastAsia" w:hAnsiTheme="minorEastAsia" w:hint="eastAsia"/>
                <w:b/>
                <w:bCs/>
              </w:rPr>
              <w:t>8.2</w:t>
            </w:r>
            <w:r w:rsidR="00D005FC">
              <w:rPr>
                <w:rFonts w:asciiTheme="minorEastAsia" w:hAnsiTheme="minorEastAsia" w:hint="eastAsia"/>
                <w:b/>
                <w:bCs/>
                <w:sz w:val="22"/>
              </w:rPr>
              <w:tab/>
            </w:r>
            <w:r w:rsidR="00D005FC">
              <w:rPr>
                <w:rStyle w:val="af3"/>
                <w:rFonts w:asciiTheme="minorEastAsia" w:hAnsiTheme="minorEastAsia" w:hint="eastAsia"/>
                <w:b/>
                <w:bCs/>
              </w:rPr>
              <w:t>保险风险等级划分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_Toc176713669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25</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70" w:history="1">
            <w:r w:rsidR="00D005FC">
              <w:rPr>
                <w:rStyle w:val="af3"/>
                <w:rFonts w:asciiTheme="minorEastAsia" w:hAnsiTheme="minorEastAsia" w:hint="eastAsia"/>
                <w:b/>
                <w:bCs/>
              </w:rPr>
              <w:t>8.3</w:t>
            </w:r>
            <w:r w:rsidR="00D005FC">
              <w:rPr>
                <w:rFonts w:asciiTheme="minorEastAsia" w:hAnsiTheme="minorEastAsia" w:hint="eastAsia"/>
                <w:b/>
                <w:bCs/>
                <w:sz w:val="22"/>
              </w:rPr>
              <w:tab/>
            </w:r>
            <w:r w:rsidR="00D005FC">
              <w:rPr>
                <w:rStyle w:val="af3"/>
                <w:rFonts w:asciiTheme="minorEastAsia" w:hAnsiTheme="minorEastAsia" w:hint="eastAsia"/>
                <w:b/>
                <w:bCs/>
              </w:rPr>
              <w:t>风险分级管控措施</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26</w:t>
            </w:r>
            <w:r>
              <w:rPr>
                <w:rFonts w:asciiTheme="minorEastAsia" w:hAnsiTheme="minorEastAsia" w:hint="eastAsia"/>
                <w:b/>
                <w:bCs/>
              </w:rPr>
              <w:fldChar w:fldCharType="end"/>
            </w:r>
          </w:hyperlink>
        </w:p>
        <w:p w:rsidR="001C66B0" w:rsidRDefault="000F24AC">
          <w:pPr>
            <w:pStyle w:val="10"/>
            <w:tabs>
              <w:tab w:val="left" w:pos="420"/>
              <w:tab w:val="right" w:leader="dot" w:pos="8296"/>
            </w:tabs>
            <w:spacing w:line="276" w:lineRule="auto"/>
            <w:rPr>
              <w:rFonts w:asciiTheme="minorEastAsia" w:hAnsiTheme="minorEastAsia"/>
              <w:b/>
              <w:bCs/>
              <w:sz w:val="22"/>
              <w:szCs w:val="24"/>
            </w:rPr>
          </w:pPr>
          <w:hyperlink w:anchor="_Toc176713671" w:history="1">
            <w:r w:rsidR="00D005FC">
              <w:rPr>
                <w:rStyle w:val="af3"/>
                <w:rFonts w:asciiTheme="minorEastAsia" w:hAnsiTheme="minorEastAsia" w:hint="eastAsia"/>
                <w:b/>
                <w:bCs/>
              </w:rPr>
              <w:t>9</w:t>
            </w:r>
            <w:r w:rsidR="00D005FC">
              <w:rPr>
                <w:rFonts w:asciiTheme="minorEastAsia" w:hAnsiTheme="minorEastAsia" w:hint="eastAsia"/>
                <w:b/>
                <w:bCs/>
                <w:sz w:val="22"/>
                <w:szCs w:val="24"/>
              </w:rPr>
              <w:tab/>
            </w:r>
            <w:r w:rsidR="00D005FC">
              <w:rPr>
                <w:rStyle w:val="af3"/>
                <w:rFonts w:asciiTheme="minorEastAsia" w:hAnsiTheme="minorEastAsia" w:hint="eastAsia"/>
                <w:b/>
                <w:bCs/>
              </w:rPr>
              <w:t>房屋维修机构资格及管理要求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28</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72" w:history="1">
            <w:r w:rsidR="00D005FC">
              <w:rPr>
                <w:rStyle w:val="af3"/>
                <w:rFonts w:asciiTheme="minorEastAsia" w:hAnsiTheme="minorEastAsia" w:hint="eastAsia"/>
                <w:b/>
                <w:bCs/>
              </w:rPr>
              <w:t>9.1</w:t>
            </w:r>
            <w:r w:rsidR="00D005FC">
              <w:rPr>
                <w:rFonts w:asciiTheme="minorEastAsia" w:hAnsiTheme="minorEastAsia" w:hint="eastAsia"/>
                <w:b/>
                <w:bCs/>
                <w:sz w:val="22"/>
              </w:rPr>
              <w:tab/>
            </w:r>
            <w:r w:rsidR="00D005FC">
              <w:rPr>
                <w:rStyle w:val="af3"/>
                <w:rFonts w:asciiTheme="minorEastAsia" w:hAnsiTheme="minorEastAsia" w:hint="eastAsia"/>
                <w:b/>
                <w:bCs/>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28</w:t>
            </w:r>
            <w:r>
              <w:rPr>
                <w:rFonts w:asciiTheme="minorEastAsia" w:hAnsiTheme="minorEastAsia" w:hint="eastAsia"/>
                <w:b/>
                <w:bCs/>
              </w:rPr>
              <w:fldChar w:fldCharType="end"/>
            </w:r>
          </w:hyperlink>
        </w:p>
        <w:p w:rsidR="001C66B0" w:rsidRDefault="000F24AC">
          <w:pPr>
            <w:pStyle w:val="20"/>
            <w:tabs>
              <w:tab w:val="left" w:pos="1260"/>
              <w:tab w:val="right" w:leader="dot" w:pos="8296"/>
            </w:tabs>
            <w:spacing w:line="276" w:lineRule="auto"/>
            <w:rPr>
              <w:rFonts w:asciiTheme="minorEastAsia" w:hAnsiTheme="minorEastAsia"/>
              <w:b/>
              <w:bCs/>
              <w:sz w:val="22"/>
            </w:rPr>
          </w:pPr>
          <w:hyperlink w:anchor="_Toc176713673" w:history="1">
            <w:r w:rsidR="00D005FC">
              <w:rPr>
                <w:rStyle w:val="af3"/>
                <w:rFonts w:asciiTheme="minorEastAsia" w:hAnsiTheme="minorEastAsia" w:hint="eastAsia"/>
                <w:b/>
                <w:bCs/>
              </w:rPr>
              <w:t>9.2</w:t>
            </w:r>
            <w:r w:rsidR="00D005FC">
              <w:rPr>
                <w:rFonts w:asciiTheme="minorEastAsia" w:hAnsiTheme="minorEastAsia" w:hint="eastAsia"/>
                <w:b/>
                <w:bCs/>
                <w:sz w:val="22"/>
              </w:rPr>
              <w:tab/>
            </w:r>
            <w:r w:rsidR="00D005FC">
              <w:rPr>
                <w:rStyle w:val="af3"/>
                <w:rFonts w:asciiTheme="minorEastAsia" w:hAnsiTheme="minorEastAsia" w:hint="eastAsia"/>
                <w:b/>
                <w:bCs/>
              </w:rPr>
              <w:t>房屋维修机构工作职责及资格要求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28</w:t>
            </w:r>
            <w:r>
              <w:rPr>
                <w:rFonts w:asciiTheme="minorEastAsia" w:hAnsiTheme="minorEastAsia" w:hint="eastAsia"/>
                <w:b/>
                <w:bCs/>
              </w:rPr>
              <w:fldChar w:fldCharType="end"/>
            </w:r>
          </w:hyperlink>
        </w:p>
        <w:p w:rsidR="001C66B0" w:rsidRDefault="000F24AC">
          <w:pPr>
            <w:pStyle w:val="10"/>
            <w:tabs>
              <w:tab w:val="left" w:pos="840"/>
              <w:tab w:val="right" w:leader="dot" w:pos="8296"/>
            </w:tabs>
            <w:spacing w:line="276" w:lineRule="auto"/>
            <w:rPr>
              <w:rFonts w:asciiTheme="minorEastAsia" w:hAnsiTheme="minorEastAsia"/>
              <w:b/>
              <w:bCs/>
              <w:sz w:val="22"/>
              <w:szCs w:val="24"/>
            </w:rPr>
          </w:pPr>
          <w:hyperlink w:anchor="_Toc176713674" w:history="1">
            <w:r w:rsidR="00D005FC">
              <w:rPr>
                <w:rStyle w:val="af3"/>
                <w:rFonts w:asciiTheme="minorEastAsia" w:hAnsiTheme="minorEastAsia" w:hint="eastAsia"/>
                <w:b/>
                <w:bCs/>
              </w:rPr>
              <w:t>10</w:t>
            </w:r>
            <w:r w:rsidR="00D005FC">
              <w:rPr>
                <w:rFonts w:asciiTheme="minorEastAsia" w:hAnsiTheme="minorEastAsia" w:hint="eastAsia"/>
                <w:b/>
                <w:bCs/>
                <w:sz w:val="22"/>
                <w:szCs w:val="24"/>
              </w:rPr>
              <w:tab/>
            </w:r>
            <w:r w:rsidR="00D005FC">
              <w:rPr>
                <w:rStyle w:val="af3"/>
                <w:rFonts w:asciiTheme="minorEastAsia" w:hAnsiTheme="minorEastAsia" w:hint="eastAsia"/>
                <w:b/>
                <w:bCs/>
              </w:rPr>
              <w:t>档案管理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29</w:t>
            </w:r>
            <w:r>
              <w:rPr>
                <w:rFonts w:asciiTheme="minorEastAsia" w:hAnsiTheme="minorEastAsia" w:hint="eastAsia"/>
                <w:b/>
                <w:bCs/>
              </w:rPr>
              <w:fldChar w:fldCharType="end"/>
            </w:r>
          </w:hyperlink>
        </w:p>
        <w:p w:rsidR="001C66B0" w:rsidRDefault="000F24AC">
          <w:pPr>
            <w:pStyle w:val="10"/>
            <w:tabs>
              <w:tab w:val="left" w:pos="840"/>
              <w:tab w:val="right" w:leader="dot" w:pos="8296"/>
            </w:tabs>
            <w:spacing w:line="276" w:lineRule="auto"/>
            <w:rPr>
              <w:rFonts w:asciiTheme="minorEastAsia" w:hAnsiTheme="minorEastAsia"/>
              <w:b/>
              <w:bCs/>
              <w:sz w:val="22"/>
              <w:szCs w:val="24"/>
            </w:rPr>
          </w:pPr>
          <w:hyperlink w:anchor="_Toc176713675" w:history="1">
            <w:r w:rsidR="00D005FC">
              <w:rPr>
                <w:rStyle w:val="af3"/>
                <w:rFonts w:asciiTheme="minorEastAsia" w:hAnsiTheme="minorEastAsia" w:hint="eastAsia"/>
                <w:b/>
                <w:bCs/>
              </w:rPr>
              <w:t>11</w:t>
            </w:r>
            <w:r w:rsidR="00D005FC">
              <w:rPr>
                <w:rFonts w:asciiTheme="minorEastAsia" w:hAnsiTheme="minorEastAsia" w:hint="eastAsia"/>
                <w:b/>
                <w:bCs/>
                <w:sz w:val="22"/>
                <w:szCs w:val="24"/>
              </w:rPr>
              <w:tab/>
            </w:r>
            <w:r w:rsidR="00D005FC">
              <w:rPr>
                <w:rStyle w:val="af3"/>
                <w:rFonts w:asciiTheme="minorEastAsia" w:hAnsiTheme="minorEastAsia" w:hint="eastAsia"/>
                <w:b/>
                <w:bCs/>
              </w:rPr>
              <w:t>信息管理平台</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30</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76" w:history="1">
            <w:r w:rsidR="00D005FC">
              <w:rPr>
                <w:rStyle w:val="af3"/>
                <w:rFonts w:asciiTheme="minorEastAsia" w:hAnsiTheme="minorEastAsia" w:cstheme="minorEastAsia" w:hint="eastAsia"/>
                <w:b/>
                <w:bCs/>
              </w:rPr>
              <w:t>附录A 建筑工程质量安全综合保险告知书参考模板</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31</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77" w:history="1">
            <w:r w:rsidR="00D005FC">
              <w:rPr>
                <w:rStyle w:val="af3"/>
                <w:rFonts w:asciiTheme="minorEastAsia" w:hAnsiTheme="minorEastAsia" w:cstheme="minorEastAsia" w:hint="eastAsia"/>
                <w:b/>
                <w:bCs/>
              </w:rPr>
              <w:t>附录B 质量风险管理重点关注的内容</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33</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78" w:history="1">
            <w:r w:rsidR="00D005FC">
              <w:rPr>
                <w:rStyle w:val="af3"/>
                <w:rFonts w:asciiTheme="minorEastAsia" w:hAnsiTheme="minorEastAsia" w:cstheme="minorEastAsia" w:hint="eastAsia"/>
                <w:b/>
                <w:bCs/>
              </w:rPr>
              <w:t>附录C 安全风险管理重点关注的内容</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38</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79" w:history="1">
            <w:r w:rsidR="00D005FC">
              <w:rPr>
                <w:rStyle w:val="af3"/>
                <w:rFonts w:asciiTheme="minorEastAsia" w:hAnsiTheme="minorEastAsia" w:cstheme="minorEastAsia" w:hint="eastAsia"/>
                <w:b/>
                <w:bCs/>
              </w:rPr>
              <w:t>附录D R0 勘察设计质量风险评估报告参考模板</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_Toc176713679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40</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80" w:history="1">
            <w:r w:rsidR="00D005FC">
              <w:rPr>
                <w:rStyle w:val="af3"/>
                <w:rFonts w:asciiTheme="minorEastAsia" w:hAnsiTheme="minorEastAsia" w:cstheme="minorEastAsia" w:hint="eastAsia"/>
                <w:b/>
                <w:bCs/>
              </w:rPr>
              <w:t>附录E R1-xx施工质量过程风险评估报告参考模板</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_Toc176713680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45</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81" w:history="1">
            <w:r w:rsidR="00D005FC">
              <w:rPr>
                <w:rStyle w:val="af3"/>
                <w:rFonts w:asciiTheme="minorEastAsia" w:hAnsiTheme="minorEastAsia" w:cstheme="minorEastAsia" w:hint="eastAsia"/>
                <w:b/>
                <w:bCs/>
              </w:rPr>
              <w:t>附录F A1-xx施工安全过程风险评估报告参考模板</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_Toc176713681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48</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82" w:history="1">
            <w:r w:rsidR="00D005FC">
              <w:rPr>
                <w:rStyle w:val="af3"/>
                <w:rFonts w:asciiTheme="minorEastAsia" w:hAnsiTheme="minorEastAsia" w:cstheme="minorEastAsia" w:hint="eastAsia"/>
                <w:b/>
                <w:bCs/>
              </w:rPr>
              <w:t>附录G 质量/安全问题清单参考模板</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_Toc176713682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51</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83" w:history="1">
            <w:r w:rsidR="00D005FC">
              <w:rPr>
                <w:rStyle w:val="af3"/>
                <w:rFonts w:asciiTheme="minorEastAsia" w:hAnsiTheme="minorEastAsia" w:cstheme="minorEastAsia" w:hint="eastAsia"/>
                <w:b/>
                <w:bCs/>
              </w:rPr>
              <w:t>本规范用词说明</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_Toc176713683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52</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Theme="minorEastAsia" w:hAnsiTheme="minorEastAsia"/>
              <w:b/>
              <w:bCs/>
              <w:sz w:val="22"/>
              <w:szCs w:val="24"/>
            </w:rPr>
          </w:pPr>
          <w:hyperlink w:anchor="_Toc176713684" w:history="1">
            <w:r w:rsidR="00D005FC">
              <w:rPr>
                <w:rStyle w:val="af3"/>
                <w:rFonts w:asciiTheme="minorEastAsia" w:hAnsiTheme="minorEastAsia" w:cs="Times New Roman" w:hint="eastAsia"/>
                <w:b/>
                <w:bCs/>
              </w:rPr>
              <w:t>条文说明</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_Toc176713684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53</w:t>
            </w:r>
            <w:r>
              <w:rPr>
                <w:rFonts w:asciiTheme="minorEastAsia" w:hAnsiTheme="minorEastAsia" w:hint="eastAsia"/>
                <w:b/>
                <w:bCs/>
              </w:rPr>
              <w:fldChar w:fldCharType="end"/>
            </w:r>
          </w:hyperlink>
        </w:p>
        <w:p w:rsidR="001C66B0" w:rsidRDefault="000F24AC">
          <w:pPr>
            <w:pStyle w:val="10"/>
            <w:tabs>
              <w:tab w:val="right" w:leader="dot" w:pos="8296"/>
            </w:tabs>
            <w:spacing w:line="276" w:lineRule="auto"/>
            <w:rPr>
              <w:rFonts w:ascii="宋体" w:eastAsia="宋体" w:hAnsi="宋体"/>
              <w:b/>
              <w:bCs/>
              <w:sz w:val="22"/>
              <w:szCs w:val="24"/>
            </w:rPr>
          </w:pPr>
          <w:r>
            <w:rPr>
              <w:rFonts w:asciiTheme="minorEastAsia" w:hAnsiTheme="minorEastAsia"/>
              <w:b/>
              <w:bCs/>
            </w:rPr>
            <w:fldChar w:fldCharType="end"/>
          </w:r>
        </w:p>
      </w:sdtContent>
    </w:sdt>
    <w:p w:rsidR="001C66B0" w:rsidRDefault="001C66B0">
      <w:pPr>
        <w:tabs>
          <w:tab w:val="left" w:pos="142"/>
        </w:tabs>
        <w:spacing w:line="360" w:lineRule="auto"/>
        <w:ind w:rightChars="-34" w:right="-71"/>
        <w:jc w:val="left"/>
        <w:rPr>
          <w:rFonts w:asciiTheme="majorEastAsia" w:eastAsiaTheme="majorEastAsia" w:hAnsiTheme="majorEastAsia" w:cstheme="majorEastAsia"/>
          <w:b/>
          <w:sz w:val="23"/>
          <w:szCs w:val="24"/>
        </w:rPr>
        <w:sectPr w:rsidR="001C66B0">
          <w:footerReference w:type="default" r:id="rId13"/>
          <w:pgSz w:w="11906" w:h="16838"/>
          <w:pgMar w:top="1440" w:right="1800" w:bottom="1440" w:left="1800" w:header="851" w:footer="992" w:gutter="0"/>
          <w:pgNumType w:start="1"/>
          <w:cols w:space="425"/>
          <w:docGrid w:type="lines" w:linePitch="312"/>
        </w:sectPr>
      </w:pPr>
    </w:p>
    <w:p w:rsidR="001C66B0" w:rsidRDefault="00D005FC">
      <w:pPr>
        <w:pStyle w:val="1"/>
      </w:pPr>
      <w:bookmarkStart w:id="5" w:name="_Toc176713642"/>
      <w:r>
        <w:rPr>
          <w:rFonts w:hint="eastAsia"/>
        </w:rPr>
        <w:lastRenderedPageBreak/>
        <w:t>总则</w:t>
      </w:r>
      <w:bookmarkEnd w:id="5"/>
    </w:p>
    <w:p w:rsidR="001C66B0" w:rsidRDefault="00D005FC">
      <w:pPr>
        <w:pStyle w:val="4"/>
        <w:ind w:left="0" w:firstLine="0"/>
      </w:pPr>
      <w:r>
        <w:rPr>
          <w:rFonts w:hint="eastAsia"/>
        </w:rPr>
        <w:t>为指导建筑工程质量安全综合保险工作开展，提高建筑工程质量安全综合保险承保、理赔和风险管理全过程服务水平，制定本标准。</w:t>
      </w:r>
    </w:p>
    <w:p w:rsidR="001C66B0" w:rsidRDefault="00D005FC">
      <w:pPr>
        <w:pStyle w:val="4"/>
        <w:ind w:left="0" w:firstLine="0"/>
      </w:pPr>
      <w:r>
        <w:rPr>
          <w:rFonts w:hint="eastAsia"/>
        </w:rPr>
        <w:t>本标准适用于房屋建筑工程项目建筑工程质量安全综合保险的相关实施工作，市政基础设施工程等其他工程可参照执行。</w:t>
      </w:r>
    </w:p>
    <w:p w:rsidR="001C66B0" w:rsidRDefault="00D005FC">
      <w:pPr>
        <w:pStyle w:val="4"/>
        <w:ind w:left="0" w:firstLine="0"/>
      </w:pPr>
      <w:r>
        <w:rPr>
          <w:rFonts w:hint="eastAsia"/>
        </w:rPr>
        <w:t>建筑工程质量安全综合保险的承保、理赔和风险管理服务，除应符合本标准外，还应符合现行国家、行业和地方标准的规定。</w:t>
      </w:r>
    </w:p>
    <w:p w:rsidR="001C66B0" w:rsidRDefault="00D005FC">
      <w:pPr>
        <w:pStyle w:val="3"/>
      </w:pPr>
      <w:r>
        <w:br w:type="page"/>
      </w:r>
    </w:p>
    <w:p w:rsidR="001C66B0" w:rsidRDefault="00D005FC">
      <w:pPr>
        <w:pStyle w:val="1"/>
      </w:pPr>
      <w:bookmarkStart w:id="6" w:name="_Toc176713643"/>
      <w:r>
        <w:rPr>
          <w:rFonts w:hint="eastAsia"/>
        </w:rPr>
        <w:lastRenderedPageBreak/>
        <w:t>术语</w:t>
      </w:r>
      <w:bookmarkEnd w:id="6"/>
    </w:p>
    <w:p w:rsidR="001C66B0" w:rsidRDefault="00D005FC">
      <w:pPr>
        <w:pStyle w:val="a6"/>
        <w:numPr>
          <w:ilvl w:val="2"/>
          <w:numId w:val="5"/>
        </w:numPr>
        <w:spacing w:line="360" w:lineRule="auto"/>
        <w:rPr>
          <w:rFonts w:asciiTheme="minorEastAsia" w:hAnsiTheme="minorEastAsia"/>
        </w:rPr>
      </w:pPr>
      <w:bookmarkStart w:id="7" w:name="_Hlk104817170"/>
      <w:r>
        <w:rPr>
          <w:rFonts w:asciiTheme="minorEastAsia" w:hAnsiTheme="minorEastAsia" w:hint="eastAsia"/>
        </w:rPr>
        <w:t>建筑工程</w:t>
      </w:r>
      <w:r>
        <w:rPr>
          <w:rFonts w:ascii="宋体" w:eastAsia="宋体" w:hAnsi="宋体" w:hint="eastAsia"/>
        </w:rPr>
        <w:t>质量安全综合保险</w:t>
      </w:r>
      <w:bookmarkEnd w:id="7"/>
      <w:r>
        <w:rPr>
          <w:rFonts w:asciiTheme="minorEastAsia" w:hAnsiTheme="minorEastAsia"/>
        </w:rPr>
        <w:t xml:space="preserve"> Inherent defects and safety liability insurance</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由建筑工程的</w:t>
      </w:r>
      <w:r>
        <w:rPr>
          <w:rFonts w:asciiTheme="minorEastAsia" w:hAnsiTheme="minorEastAsia" w:hint="eastAsia"/>
        </w:rPr>
        <w:t>建设单位</w:t>
      </w:r>
      <w:r>
        <w:rPr>
          <w:rFonts w:asciiTheme="minorEastAsia" w:hAnsiTheme="minorEastAsia" w:cstheme="minorEastAsia" w:hint="eastAsia"/>
          <w:bCs/>
          <w:szCs w:val="24"/>
        </w:rPr>
        <w:t>投保，保险公司根据保险条款约定，对在保险范围和保险责任期间内出现的由于工程质量潜在缺陷所导致被保建筑物损坏，以及对建筑施工期间因发生生产安全事故或施工意外事故造成从业人员人身伤亡、第三者人身伤亡和救援费用，履行赔偿义务的保险。</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建筑工程质量</w:t>
      </w:r>
      <w:r>
        <w:rPr>
          <w:rFonts w:asciiTheme="minorEastAsia" w:hAnsiTheme="minorEastAsia"/>
        </w:rPr>
        <w:t>潜在缺陷 Inherent defect</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建筑工程在竣工验收时未被发现，在正常使用过程中暴露出来的因勘察、设计、施工或材料等原因造成被保建筑物的物质损失的质量缺陷。</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rPr>
        <w:t>保险等待期 Insurance waiting period</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保险合同在生效的指定时期内，即使发生保险事故，受益人也不能获得保险赔偿的时间段。</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回访期 R</w:t>
      </w:r>
      <w:r>
        <w:rPr>
          <w:rFonts w:asciiTheme="minorEastAsia" w:hAnsiTheme="minorEastAsia"/>
        </w:rPr>
        <w:t>evisit period</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建筑工程质量安全综合保险中，</w:t>
      </w:r>
      <w:bookmarkStart w:id="8" w:name="_Hlk105837347"/>
      <w:r>
        <w:rPr>
          <w:rFonts w:asciiTheme="minorEastAsia" w:hAnsiTheme="minorEastAsia" w:cstheme="minorEastAsia" w:hint="eastAsia"/>
          <w:bCs/>
          <w:szCs w:val="24"/>
        </w:rPr>
        <w:t>承保工程项目竣工验收合格之日起的第二年</w:t>
      </w:r>
      <w:bookmarkEnd w:id="8"/>
      <w:r>
        <w:rPr>
          <w:rFonts w:asciiTheme="minorEastAsia" w:hAnsiTheme="minorEastAsia" w:cstheme="minorEastAsia" w:hint="eastAsia"/>
          <w:bCs/>
          <w:szCs w:val="24"/>
        </w:rPr>
        <w:t>。</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风险等级</w:t>
      </w:r>
      <w:r>
        <w:rPr>
          <w:rFonts w:asciiTheme="minorEastAsia" w:hAnsiTheme="minorEastAsia"/>
        </w:rPr>
        <w:t>Risk level</w:t>
      </w:r>
    </w:p>
    <w:p w:rsidR="001C66B0" w:rsidRDefault="00D005FC">
      <w:pPr>
        <w:tabs>
          <w:tab w:val="left" w:pos="142"/>
        </w:tabs>
        <w:spacing w:line="360" w:lineRule="auto"/>
        <w:ind w:rightChars="-34" w:right="-71" w:firstLineChars="200" w:firstLine="420"/>
        <w:rPr>
          <w:rFonts w:asciiTheme="minorEastAsia" w:hAnsiTheme="minorEastAsia"/>
        </w:rPr>
      </w:pPr>
      <w:r>
        <w:rPr>
          <w:rFonts w:asciiTheme="minorEastAsia" w:hAnsiTheme="minorEastAsia" w:hint="eastAsia"/>
        </w:rPr>
        <w:t>以风险估测和评价为基础，根据风险大小将风险归类的级别。</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 xml:space="preserve">危险单位 </w:t>
      </w:r>
      <w:r>
        <w:rPr>
          <w:rFonts w:asciiTheme="minorEastAsia" w:hAnsiTheme="minorEastAsia"/>
        </w:rPr>
        <w:t xml:space="preserve">Risk </w:t>
      </w:r>
      <w:r>
        <w:rPr>
          <w:rFonts w:asciiTheme="minorEastAsia" w:hAnsiTheme="minorEastAsia" w:hint="eastAsia"/>
        </w:rPr>
        <w:t>u</w:t>
      </w:r>
      <w:r>
        <w:rPr>
          <w:rFonts w:asciiTheme="minorEastAsia" w:hAnsiTheme="minorEastAsia"/>
        </w:rPr>
        <w:t>nit</w:t>
      </w:r>
    </w:p>
    <w:p w:rsidR="001C66B0" w:rsidRDefault="00D005FC">
      <w:pPr>
        <w:tabs>
          <w:tab w:val="left" w:pos="142"/>
        </w:tabs>
        <w:spacing w:line="360" w:lineRule="auto"/>
        <w:ind w:rightChars="-34" w:right="-71" w:firstLineChars="200" w:firstLine="420"/>
        <w:rPr>
          <w:rFonts w:asciiTheme="minorEastAsia" w:hAnsiTheme="minorEastAsia"/>
        </w:rPr>
      </w:pPr>
      <w:r>
        <w:rPr>
          <w:rFonts w:asciiTheme="minorEastAsia" w:hAnsiTheme="minorEastAsia" w:hint="eastAsia"/>
        </w:rPr>
        <w:t>一次保险事故可能造成的最大损失范围。</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 xml:space="preserve">偿付能力 </w:t>
      </w:r>
      <w:r>
        <w:rPr>
          <w:rFonts w:asciiTheme="minorEastAsia" w:hAnsiTheme="minorEastAsia"/>
        </w:rPr>
        <w:t>Solvency</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保险公司承担所有到期债务和未来责任的财务支付能力，综合偿付能力充足率衡量保险公司资本的充足状况。</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hint="eastAsia"/>
        </w:rPr>
        <w:t xml:space="preserve">共同保险 </w:t>
      </w:r>
      <w:r>
        <w:rPr>
          <w:rFonts w:asciiTheme="minorEastAsia" w:hAnsiTheme="minorEastAsia"/>
        </w:rPr>
        <w:t>Co-insurance</w:t>
      </w:r>
    </w:p>
    <w:p w:rsidR="001C66B0" w:rsidRDefault="00D005FC">
      <w:pPr>
        <w:tabs>
          <w:tab w:val="left" w:pos="142"/>
        </w:tabs>
        <w:spacing w:line="360" w:lineRule="auto"/>
        <w:ind w:rightChars="-34" w:right="-71" w:firstLineChars="200" w:firstLine="420"/>
        <w:rPr>
          <w:rFonts w:asciiTheme="minorEastAsia" w:hAnsiTheme="minorEastAsia"/>
        </w:rPr>
      </w:pPr>
      <w:r>
        <w:rPr>
          <w:rFonts w:asciiTheme="minorEastAsia" w:hAnsiTheme="minorEastAsia" w:cstheme="minorEastAsia"/>
          <w:bCs/>
          <w:szCs w:val="24"/>
        </w:rPr>
        <w:t>两个或两个以上的保险</w:t>
      </w:r>
      <w:r>
        <w:rPr>
          <w:rFonts w:asciiTheme="minorEastAsia" w:hAnsiTheme="minorEastAsia" w:cstheme="minorEastAsia" w:hint="eastAsia"/>
          <w:bCs/>
          <w:szCs w:val="24"/>
        </w:rPr>
        <w:t>公司</w:t>
      </w:r>
      <w:r>
        <w:rPr>
          <w:rFonts w:asciiTheme="minorEastAsia" w:hAnsiTheme="minorEastAsia" w:cstheme="minorEastAsia"/>
          <w:bCs/>
          <w:szCs w:val="24"/>
        </w:rPr>
        <w:t>联合承保同一笔保险业务，</w:t>
      </w:r>
      <w:r>
        <w:rPr>
          <w:rFonts w:asciiTheme="minorEastAsia" w:hAnsiTheme="minorEastAsia" w:cstheme="minorEastAsia" w:hint="eastAsia"/>
          <w:bCs/>
          <w:szCs w:val="24"/>
        </w:rPr>
        <w:t>组成共保体</w:t>
      </w:r>
      <w:r>
        <w:rPr>
          <w:rFonts w:asciiTheme="minorEastAsia" w:hAnsiTheme="minorEastAsia" w:cstheme="minorEastAsia"/>
          <w:bCs/>
          <w:szCs w:val="24"/>
        </w:rPr>
        <w:t>共同分担同一笔损失的保险行为</w:t>
      </w:r>
      <w:r>
        <w:rPr>
          <w:rFonts w:asciiTheme="minorEastAsia" w:hAnsiTheme="minorEastAsia" w:cstheme="minorEastAsia" w:hint="eastAsia"/>
          <w:bCs/>
          <w:szCs w:val="24"/>
        </w:rPr>
        <w:t>，若保险标的发生损失，各保险公司按各自承保的比例分摊损失，简称“共保”。</w:t>
      </w:r>
      <w:r>
        <w:rPr>
          <w:rFonts w:asciiTheme="minorEastAsia" w:hAnsiTheme="minorEastAsia" w:cstheme="minorEastAsia"/>
          <w:bCs/>
          <w:szCs w:val="24"/>
        </w:rPr>
        <w:t>共保体分为</w:t>
      </w:r>
      <w:r>
        <w:rPr>
          <w:rFonts w:asciiTheme="minorEastAsia" w:hAnsiTheme="minorEastAsia" w:cstheme="minorEastAsia" w:hint="eastAsia"/>
          <w:bCs/>
          <w:szCs w:val="24"/>
        </w:rPr>
        <w:t>主承保公司</w:t>
      </w:r>
      <w:r>
        <w:rPr>
          <w:rFonts w:asciiTheme="minorEastAsia" w:hAnsiTheme="minorEastAsia" w:cstheme="minorEastAsia"/>
          <w:bCs/>
          <w:szCs w:val="24"/>
        </w:rPr>
        <w:t>和</w:t>
      </w:r>
      <w:r>
        <w:rPr>
          <w:rFonts w:asciiTheme="minorEastAsia" w:hAnsiTheme="minorEastAsia" w:cstheme="minorEastAsia" w:hint="eastAsia"/>
          <w:bCs/>
          <w:szCs w:val="24"/>
        </w:rPr>
        <w:t>共保公司，主</w:t>
      </w:r>
      <w:r>
        <w:rPr>
          <w:rFonts w:asciiTheme="minorEastAsia" w:hAnsiTheme="minorEastAsia" w:cstheme="minorEastAsia"/>
          <w:bCs/>
          <w:szCs w:val="24"/>
        </w:rPr>
        <w:t>承保</w:t>
      </w:r>
      <w:r>
        <w:rPr>
          <w:rFonts w:asciiTheme="minorEastAsia" w:hAnsiTheme="minorEastAsia" w:cstheme="minorEastAsia" w:hint="eastAsia"/>
          <w:bCs/>
          <w:szCs w:val="24"/>
        </w:rPr>
        <w:t>公司</w:t>
      </w:r>
      <w:r>
        <w:rPr>
          <w:rFonts w:asciiTheme="minorEastAsia" w:hAnsiTheme="minorEastAsia" w:cstheme="minorEastAsia"/>
          <w:bCs/>
          <w:szCs w:val="24"/>
        </w:rPr>
        <w:t>作为共保体所有成员的代表，负责牵头处理</w:t>
      </w:r>
      <w:r>
        <w:rPr>
          <w:rFonts w:asciiTheme="minorEastAsia" w:hAnsiTheme="minorEastAsia" w:cstheme="minorEastAsia" w:hint="eastAsia"/>
          <w:bCs/>
          <w:szCs w:val="24"/>
        </w:rPr>
        <w:t>保单</w:t>
      </w:r>
      <w:r>
        <w:rPr>
          <w:rFonts w:asciiTheme="minorEastAsia" w:hAnsiTheme="minorEastAsia" w:cstheme="minorEastAsia"/>
          <w:bCs/>
          <w:szCs w:val="24"/>
        </w:rPr>
        <w:t>所有业务事宜</w:t>
      </w:r>
      <w:r>
        <w:rPr>
          <w:rFonts w:asciiTheme="minorEastAsia" w:hAnsiTheme="minorEastAsia" w:cstheme="minorEastAsia" w:hint="eastAsia"/>
          <w:bCs/>
          <w:szCs w:val="24"/>
        </w:rPr>
        <w:t>，</w:t>
      </w:r>
      <w:r>
        <w:rPr>
          <w:rFonts w:asciiTheme="minorEastAsia" w:hAnsiTheme="minorEastAsia"/>
        </w:rPr>
        <w:t>其他共保</w:t>
      </w:r>
      <w:r>
        <w:rPr>
          <w:rFonts w:asciiTheme="minorEastAsia" w:hAnsiTheme="minorEastAsia" w:hint="eastAsia"/>
        </w:rPr>
        <w:t>公司</w:t>
      </w:r>
      <w:r>
        <w:rPr>
          <w:rFonts w:asciiTheme="minorEastAsia" w:hAnsiTheme="minorEastAsia"/>
        </w:rPr>
        <w:t>根据共保协议承保其份额，并承担与承保份额相应的权利、义务。</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rPr>
        <w:t>风险管理</w:t>
      </w:r>
      <w:r>
        <w:rPr>
          <w:rFonts w:asciiTheme="minorEastAsia" w:hAnsiTheme="minorEastAsia" w:hint="eastAsia"/>
        </w:rPr>
        <w:t>机构</w:t>
      </w:r>
      <w:r>
        <w:rPr>
          <w:rFonts w:asciiTheme="minorEastAsia" w:hAnsiTheme="minorEastAsia"/>
        </w:rPr>
        <w:t xml:space="preserve"> Technical </w:t>
      </w:r>
      <w:r>
        <w:rPr>
          <w:rFonts w:asciiTheme="minorEastAsia" w:hAnsiTheme="minorEastAsia" w:hint="eastAsia"/>
        </w:rPr>
        <w:t>i</w:t>
      </w:r>
      <w:r>
        <w:rPr>
          <w:rFonts w:asciiTheme="minorEastAsia" w:hAnsiTheme="minorEastAsia"/>
        </w:rPr>
        <w:t xml:space="preserve">nspection </w:t>
      </w:r>
      <w:r>
        <w:rPr>
          <w:rFonts w:asciiTheme="minorEastAsia" w:hAnsiTheme="minorEastAsia" w:hint="eastAsia"/>
        </w:rPr>
        <w:t>s</w:t>
      </w:r>
      <w:r>
        <w:rPr>
          <w:rFonts w:asciiTheme="minorEastAsia" w:hAnsiTheme="minorEastAsia"/>
        </w:rPr>
        <w:t>ervice</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hint="eastAsia"/>
          <w:bCs/>
          <w:szCs w:val="24"/>
        </w:rPr>
        <w:t>受保险公司委托，对投保建筑工程质量安全综合保险的建筑工程项目，在保险责任范围内对风险因素实施辨识、评估、报告、提出处理建议，并最终对保险公司承担合同责任的法人机构。</w:t>
      </w:r>
    </w:p>
    <w:p w:rsidR="001C66B0" w:rsidRDefault="00D005FC">
      <w:pPr>
        <w:pStyle w:val="a6"/>
        <w:numPr>
          <w:ilvl w:val="2"/>
          <w:numId w:val="5"/>
        </w:numPr>
        <w:spacing w:line="360" w:lineRule="auto"/>
        <w:rPr>
          <w:rFonts w:asciiTheme="minorEastAsia" w:hAnsiTheme="minorEastAsia"/>
        </w:rPr>
      </w:pPr>
      <w:r>
        <w:rPr>
          <w:rFonts w:asciiTheme="minorEastAsia" w:hAnsiTheme="minorEastAsia"/>
        </w:rPr>
        <w:t xml:space="preserve">过程检查 Process monitoring </w:t>
      </w:r>
    </w:p>
    <w:p w:rsidR="001C66B0" w:rsidRDefault="00D005FC">
      <w:pPr>
        <w:tabs>
          <w:tab w:val="left" w:pos="142"/>
        </w:tabs>
        <w:spacing w:line="360" w:lineRule="auto"/>
        <w:ind w:rightChars="-34" w:right="-71" w:firstLineChars="200" w:firstLine="420"/>
        <w:rPr>
          <w:rFonts w:asciiTheme="minorEastAsia" w:hAnsiTheme="minorEastAsia" w:cstheme="minorEastAsia"/>
          <w:bCs/>
          <w:szCs w:val="24"/>
        </w:rPr>
      </w:pPr>
      <w:r>
        <w:rPr>
          <w:rFonts w:asciiTheme="minorEastAsia" w:hAnsiTheme="minorEastAsia" w:cstheme="minorEastAsia"/>
          <w:bCs/>
          <w:szCs w:val="24"/>
        </w:rPr>
        <w:t>风险管理机构在工程</w:t>
      </w:r>
      <w:r>
        <w:rPr>
          <w:rFonts w:asciiTheme="minorEastAsia" w:hAnsiTheme="minorEastAsia" w:cstheme="minorEastAsia" w:hint="eastAsia"/>
          <w:bCs/>
          <w:szCs w:val="24"/>
        </w:rPr>
        <w:t>施工</w:t>
      </w:r>
      <w:r>
        <w:rPr>
          <w:rFonts w:asciiTheme="minorEastAsia" w:hAnsiTheme="minorEastAsia" w:cstheme="minorEastAsia"/>
          <w:bCs/>
          <w:szCs w:val="24"/>
        </w:rPr>
        <w:t>过程中以现场检查形式进行的风险管理工作。</w:t>
      </w:r>
    </w:p>
    <w:p w:rsidR="001C66B0" w:rsidRDefault="001C66B0"/>
    <w:p w:rsidR="001C66B0" w:rsidRDefault="001C66B0"/>
    <w:p w:rsidR="001C66B0" w:rsidRDefault="00D005FC">
      <w:pPr>
        <w:tabs>
          <w:tab w:val="left" w:pos="142"/>
        </w:tabs>
        <w:spacing w:line="360" w:lineRule="auto"/>
        <w:ind w:rightChars="-34" w:right="-71"/>
        <w:jc w:val="left"/>
        <w:rPr>
          <w:rFonts w:ascii="Times New Roman" w:eastAsia="宋体" w:hAnsi="Times New Roman" w:cs="Times New Roman"/>
          <w:b/>
        </w:rPr>
      </w:pPr>
      <w:r>
        <w:rPr>
          <w:rFonts w:ascii="Times New Roman" w:eastAsia="宋体" w:hAnsi="Times New Roman" w:cs="Times New Roman"/>
          <w:b/>
        </w:rPr>
        <w:br w:type="page"/>
      </w:r>
    </w:p>
    <w:p w:rsidR="001C66B0" w:rsidRDefault="00D005FC">
      <w:pPr>
        <w:pStyle w:val="1"/>
      </w:pPr>
      <w:bookmarkStart w:id="9" w:name="_Toc176713644"/>
      <w:bookmarkStart w:id="10" w:name="_Hlk102126403"/>
      <w:r>
        <w:rPr>
          <w:rFonts w:hint="eastAsia"/>
        </w:rPr>
        <w:lastRenderedPageBreak/>
        <w:t>基本规定</w:t>
      </w:r>
      <w:bookmarkEnd w:id="9"/>
    </w:p>
    <w:p w:rsidR="001C66B0" w:rsidRDefault="00D005FC">
      <w:pPr>
        <w:pStyle w:val="2"/>
        <w:spacing w:before="120"/>
      </w:pPr>
      <w:bookmarkStart w:id="11" w:name="_Toc176713645"/>
      <w:r>
        <w:rPr>
          <w:rFonts w:hint="eastAsia"/>
        </w:rPr>
        <w:t>基本原则</w:t>
      </w:r>
      <w:bookmarkEnd w:id="11"/>
    </w:p>
    <w:p w:rsidR="001C66B0" w:rsidRDefault="00D005FC">
      <w:pPr>
        <w:pStyle w:val="3"/>
      </w:pPr>
      <w:r>
        <w:rPr>
          <w:rFonts w:hint="eastAsia"/>
        </w:rPr>
        <w:t>建筑工程质量安全综合保险服务应遵循“保、防、救、赔”的“四原则”，</w:t>
      </w:r>
      <w:r>
        <w:rPr>
          <w:rStyle w:val="3Char"/>
          <w:rFonts w:hint="eastAsia"/>
        </w:rPr>
        <w:t>实行统一保险条款、统一保险费率标准、统一风险管理服务标准、统一理赔服务标准和统一信息平台的“五统一”。</w:t>
      </w:r>
    </w:p>
    <w:p w:rsidR="001C66B0" w:rsidRDefault="00D005FC">
      <w:pPr>
        <w:pStyle w:val="3"/>
      </w:pPr>
      <w:r>
        <w:rPr>
          <w:rFonts w:hint="eastAsia"/>
        </w:rPr>
        <w:t>投保建筑工程质量安全综合保险的建筑工程项目，建设单位应在土地出让阶段签署投保意向书，并在办理施工许可手续前，选择符合本标准资格要求的保险公司，与其签订建筑工程质量安全综合保险合同。</w:t>
      </w:r>
    </w:p>
    <w:p w:rsidR="001C66B0" w:rsidRDefault="00D005FC">
      <w:pPr>
        <w:pStyle w:val="3"/>
      </w:pPr>
      <w:r>
        <w:rPr>
          <w:rFonts w:hint="eastAsia"/>
        </w:rPr>
        <w:t>保险公司应与符合本标准资格要求的风险管理机构签订风险管理服务合同，委托风险管理机构提供工程质量风险管理和安全事故预防技术服务。</w:t>
      </w:r>
    </w:p>
    <w:p w:rsidR="001C66B0" w:rsidRDefault="00D005FC">
      <w:pPr>
        <w:pStyle w:val="3"/>
      </w:pPr>
      <w:r>
        <w:rPr>
          <w:rFonts w:hint="eastAsia"/>
        </w:rPr>
        <w:t>建筑工程质量安全综合保险的承保、理赔和风险管理服务应满足信息化管理的要求。</w:t>
      </w:r>
    </w:p>
    <w:p w:rsidR="001C66B0" w:rsidRDefault="00D005FC">
      <w:pPr>
        <w:pStyle w:val="2"/>
        <w:spacing w:before="120"/>
      </w:pPr>
      <w:bookmarkStart w:id="12" w:name="_Toc176713646"/>
      <w:r>
        <w:rPr>
          <w:rFonts w:hint="eastAsia"/>
        </w:rPr>
        <w:t>各方工作职责</w:t>
      </w:r>
      <w:bookmarkEnd w:id="12"/>
    </w:p>
    <w:p w:rsidR="001C66B0" w:rsidRDefault="00D005FC">
      <w:pPr>
        <w:pStyle w:val="3"/>
      </w:pPr>
      <w:r>
        <w:rPr>
          <w:rFonts w:hint="eastAsia"/>
        </w:rPr>
        <w:t>建设单位应组织协调各参建单位积极配合保险公司开展风险管理服务，组织和主导对质量问题和安全隐患的整改工作，并进行举一反三的预防和整改。建设单位在与业主签订房屋预售合同时，应明确向业主告知建筑工程质量安全综合保险的投保信息，并在业主办理房屋交付手续时，配合保险公司将《建筑工程质量安全综合保险告知书》送达业主。</w:t>
      </w:r>
    </w:p>
    <w:p w:rsidR="001C66B0" w:rsidRDefault="00D005FC">
      <w:pPr>
        <w:pStyle w:val="3"/>
      </w:pPr>
      <w:r>
        <w:rPr>
          <w:rFonts w:hint="eastAsia"/>
        </w:rPr>
        <w:t>勘察单位、设计单位应积极配合整改保险公司及其委托的风险管理机构检查发现的勘察、设计方面的质量缺陷和安全隐患。</w:t>
      </w:r>
    </w:p>
    <w:p w:rsidR="001C66B0" w:rsidRDefault="00D005FC">
      <w:pPr>
        <w:pStyle w:val="3"/>
      </w:pPr>
      <w:r>
        <w:rPr>
          <w:rFonts w:hint="eastAsia"/>
        </w:rPr>
        <w:t>施工单位应对保险公司及其委托的风险管理机构检查发现的施工质量问题和安全隐患及时整改、回复并加强同类问题的预防。</w:t>
      </w:r>
    </w:p>
    <w:p w:rsidR="001C66B0" w:rsidRDefault="00D005FC">
      <w:pPr>
        <w:pStyle w:val="3"/>
      </w:pPr>
      <w:r>
        <w:rPr>
          <w:rFonts w:hint="eastAsia"/>
        </w:rPr>
        <w:t>监理单位应协助建设单位全面督促质量安全风险问题的消除，配合保险公司及其委托的风险管理机构审查施工单位对质量缺陷及安全隐患整改和预防工作。</w:t>
      </w:r>
    </w:p>
    <w:p w:rsidR="001C66B0" w:rsidRDefault="00D005FC">
      <w:pPr>
        <w:pStyle w:val="3"/>
      </w:pPr>
      <w:r>
        <w:rPr>
          <w:rFonts w:hint="eastAsia"/>
        </w:rPr>
        <w:t>建设单位、勘察单位、设计单位、施工单位和监理单位应积极配合保险公司的风险管理服务工作，指派专人进行工作对接，提供便利工作条件，及时向保险公司及其委托的风险管理机构提供服务所需相关的文件和技术资料，并确保资料真实、完整、准确。</w:t>
      </w:r>
    </w:p>
    <w:p w:rsidR="001C66B0" w:rsidRDefault="00D005FC">
      <w:pPr>
        <w:pStyle w:val="3"/>
      </w:pPr>
      <w:r>
        <w:rPr>
          <w:rFonts w:hint="eastAsia"/>
        </w:rPr>
        <w:t>保险公司应承担以下工作职责：</w:t>
      </w:r>
    </w:p>
    <w:p w:rsidR="001C66B0" w:rsidRDefault="00D005FC">
      <w:pPr>
        <w:pStyle w:val="a6"/>
        <w:numPr>
          <w:ilvl w:val="0"/>
          <w:numId w:val="6"/>
        </w:numPr>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牵头处理承保、理赔、风险管理服务等相关事宜；</w:t>
      </w:r>
    </w:p>
    <w:p w:rsidR="001C66B0" w:rsidRDefault="00D005FC">
      <w:pPr>
        <w:pStyle w:val="a6"/>
        <w:numPr>
          <w:ilvl w:val="0"/>
          <w:numId w:val="6"/>
        </w:numPr>
        <w:tabs>
          <w:tab w:val="left" w:pos="142"/>
        </w:tabs>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及时委托合格、独立的风险管理机构提供服务，加强对风险管理机构的工作考核，对风险管理工作常态化现场检查，确保风险管理服务按要求开展；</w:t>
      </w:r>
    </w:p>
    <w:p w:rsidR="001C66B0" w:rsidRDefault="00D005FC">
      <w:pPr>
        <w:pStyle w:val="a6"/>
        <w:numPr>
          <w:ilvl w:val="0"/>
          <w:numId w:val="6"/>
        </w:numPr>
        <w:tabs>
          <w:tab w:val="left" w:pos="142"/>
        </w:tabs>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建立和完善与投保项目的沟通协调机制，全过程跟踪掌握质量安全风险管理情况；</w:t>
      </w:r>
    </w:p>
    <w:p w:rsidR="001C66B0" w:rsidRDefault="00D005FC">
      <w:pPr>
        <w:pStyle w:val="a6"/>
        <w:numPr>
          <w:ilvl w:val="0"/>
          <w:numId w:val="6"/>
        </w:numPr>
        <w:tabs>
          <w:tab w:val="left" w:pos="142"/>
        </w:tabs>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做好项目质量安全问题整改的协调工作，对不配合风险管理服务工作、不及时对问题进行整改的，录入信息管理平台；</w:t>
      </w:r>
    </w:p>
    <w:p w:rsidR="001C66B0" w:rsidRDefault="00D005FC">
      <w:pPr>
        <w:pStyle w:val="a6"/>
        <w:numPr>
          <w:ilvl w:val="0"/>
          <w:numId w:val="6"/>
        </w:numPr>
        <w:tabs>
          <w:tab w:val="left" w:pos="142"/>
        </w:tabs>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完善理赔服务和应急处置机制，保障理赔服务满意度；</w:t>
      </w:r>
    </w:p>
    <w:p w:rsidR="001C66B0" w:rsidRDefault="00D005FC">
      <w:pPr>
        <w:pStyle w:val="a6"/>
        <w:numPr>
          <w:ilvl w:val="0"/>
          <w:numId w:val="6"/>
        </w:numPr>
        <w:tabs>
          <w:tab w:val="left" w:pos="142"/>
        </w:tabs>
        <w:spacing w:line="360" w:lineRule="auto"/>
        <w:ind w:left="142" w:rightChars="-34" w:right="-71" w:firstLine="425"/>
        <w:rPr>
          <w:rFonts w:ascii="宋体" w:eastAsia="宋体" w:hAnsi="宋体" w:cs="仿宋_GB2312"/>
          <w:szCs w:val="32"/>
        </w:rPr>
      </w:pPr>
      <w:r>
        <w:rPr>
          <w:rFonts w:ascii="宋体" w:eastAsia="宋体" w:hAnsi="宋体" w:cs="仿宋_GB2312" w:hint="eastAsia"/>
          <w:szCs w:val="32"/>
        </w:rPr>
        <w:t>投保项目发生建筑工程发生理赔时，按照合同约定，履行经济补偿责任。</w:t>
      </w:r>
    </w:p>
    <w:p w:rsidR="001C66B0" w:rsidRDefault="00D005FC">
      <w:pPr>
        <w:pStyle w:val="2"/>
        <w:spacing w:before="120"/>
      </w:pPr>
      <w:bookmarkStart w:id="13" w:name="_Toc176713647"/>
      <w:r>
        <w:rPr>
          <w:rFonts w:hint="eastAsia"/>
        </w:rPr>
        <w:lastRenderedPageBreak/>
        <w:t>保险合同签订</w:t>
      </w:r>
      <w:bookmarkEnd w:id="13"/>
    </w:p>
    <w:p w:rsidR="001C66B0" w:rsidRDefault="00D005FC">
      <w:pPr>
        <w:pStyle w:val="3"/>
      </w:pPr>
      <w:r>
        <w:rPr>
          <w:rFonts w:hint="eastAsia"/>
        </w:rPr>
        <w:t>建设单位最迟应在办理施工许可手续前，向有承保资格的保险公司投保建筑工程质量安全综合保险，签署保险合同并在办理施工许可证前一次性支付保费。保险公司应在收到全额保费后3个工作日内出具正式保单。</w:t>
      </w:r>
    </w:p>
    <w:p w:rsidR="001C66B0" w:rsidRDefault="00D005FC">
      <w:pPr>
        <w:pStyle w:val="3"/>
        <w:rPr>
          <w:rFonts w:ascii="宋体" w:hAnsi="宋体"/>
        </w:rPr>
      </w:pPr>
      <w:r>
        <w:rPr>
          <w:rFonts w:ascii="宋体" w:hAnsi="宋体" w:cs="宋体" w:hint="eastAsia"/>
        </w:rPr>
        <w:t>投保建筑工程质量安全综合保险应提供如下材料：</w:t>
      </w:r>
    </w:p>
    <w:p w:rsidR="001C66B0" w:rsidRDefault="00D005FC">
      <w:pPr>
        <w:pStyle w:val="a6"/>
        <w:numPr>
          <w:ilvl w:val="0"/>
          <w:numId w:val="7"/>
        </w:numPr>
        <w:tabs>
          <w:tab w:val="left" w:pos="142"/>
        </w:tabs>
        <w:spacing w:line="360" w:lineRule="auto"/>
        <w:ind w:left="142" w:rightChars="-34" w:right="-71" w:firstLine="425"/>
      </w:pPr>
      <w:r>
        <w:rPr>
          <w:rFonts w:hint="eastAsia"/>
        </w:rPr>
        <w:t>投保单及承保项目信息（项目规划、工程性质、装修标准、建筑总面积、各个单体的面积、地上地下建筑面积、地上地下建筑物层数、结构类型、基础类型、工程质量标准、项目进度计划及现有工程状态、“四新”技术、特殊工艺、五方责任主体信息及资质情况、项目工期、同时施工的最大雇员人数等）；</w:t>
      </w:r>
    </w:p>
    <w:p w:rsidR="001C66B0" w:rsidRDefault="00D005FC">
      <w:pPr>
        <w:pStyle w:val="a6"/>
        <w:numPr>
          <w:ilvl w:val="0"/>
          <w:numId w:val="7"/>
        </w:numPr>
        <w:tabs>
          <w:tab w:val="left" w:pos="142"/>
        </w:tabs>
        <w:spacing w:line="360" w:lineRule="auto"/>
        <w:ind w:left="142" w:rightChars="-34" w:right="-71" w:firstLine="425"/>
      </w:pPr>
      <w:r>
        <w:rPr>
          <w:rFonts w:hint="eastAsia"/>
        </w:rPr>
        <w:t>投保人营业执照；</w:t>
      </w:r>
    </w:p>
    <w:p w:rsidR="001C66B0" w:rsidRDefault="00D005FC">
      <w:pPr>
        <w:pStyle w:val="a6"/>
        <w:numPr>
          <w:ilvl w:val="0"/>
          <w:numId w:val="7"/>
        </w:numPr>
        <w:tabs>
          <w:tab w:val="left" w:pos="142"/>
        </w:tabs>
        <w:spacing w:line="360" w:lineRule="auto"/>
        <w:ind w:left="142" w:rightChars="-34" w:right="-71" w:firstLine="425"/>
      </w:pPr>
      <w:r>
        <w:rPr>
          <w:rFonts w:hint="eastAsia"/>
        </w:rPr>
        <w:t>承保项目立项文件；</w:t>
      </w:r>
    </w:p>
    <w:p w:rsidR="001C66B0" w:rsidRDefault="00D005FC">
      <w:pPr>
        <w:pStyle w:val="a6"/>
        <w:numPr>
          <w:ilvl w:val="0"/>
          <w:numId w:val="7"/>
        </w:numPr>
        <w:tabs>
          <w:tab w:val="left" w:pos="142"/>
        </w:tabs>
        <w:spacing w:line="360" w:lineRule="auto"/>
        <w:ind w:left="142" w:rightChars="-34" w:right="-71" w:firstLine="425"/>
      </w:pPr>
      <w:r>
        <w:rPr>
          <w:rFonts w:hint="eastAsia"/>
        </w:rPr>
        <w:t>承保项目政府备案的施工总承包合同；</w:t>
      </w:r>
    </w:p>
    <w:p w:rsidR="001C66B0" w:rsidRDefault="00D005FC">
      <w:pPr>
        <w:pStyle w:val="a6"/>
        <w:numPr>
          <w:ilvl w:val="0"/>
          <w:numId w:val="7"/>
        </w:numPr>
        <w:tabs>
          <w:tab w:val="left" w:pos="142"/>
        </w:tabs>
        <w:spacing w:line="360" w:lineRule="auto"/>
        <w:ind w:left="142" w:rightChars="-34" w:right="-71" w:firstLine="425"/>
      </w:pPr>
      <w:r>
        <w:rPr>
          <w:rFonts w:hint="eastAsia"/>
        </w:rPr>
        <w:t>承保项目勘察文件；</w:t>
      </w:r>
    </w:p>
    <w:p w:rsidR="001C66B0" w:rsidRDefault="00D005FC">
      <w:pPr>
        <w:pStyle w:val="a6"/>
        <w:numPr>
          <w:ilvl w:val="0"/>
          <w:numId w:val="7"/>
        </w:numPr>
        <w:tabs>
          <w:tab w:val="left" w:pos="142"/>
        </w:tabs>
        <w:spacing w:line="360" w:lineRule="auto"/>
        <w:ind w:left="142" w:rightChars="-34" w:right="-71" w:firstLine="425"/>
      </w:pPr>
      <w:r>
        <w:rPr>
          <w:rFonts w:hint="eastAsia"/>
        </w:rPr>
        <w:t>承保项目设计文件；</w:t>
      </w:r>
    </w:p>
    <w:p w:rsidR="001C66B0" w:rsidRDefault="00D005FC">
      <w:pPr>
        <w:pStyle w:val="a6"/>
        <w:numPr>
          <w:ilvl w:val="0"/>
          <w:numId w:val="7"/>
        </w:numPr>
        <w:tabs>
          <w:tab w:val="left" w:pos="142"/>
        </w:tabs>
        <w:spacing w:line="360" w:lineRule="auto"/>
        <w:ind w:left="142" w:rightChars="-34" w:right="-71" w:firstLine="425"/>
      </w:pPr>
      <w:r>
        <w:rPr>
          <w:rFonts w:hint="eastAsia"/>
        </w:rPr>
        <w:t>承保项目建设投资单位成本表（或者相应的造价清单等证明文件）；</w:t>
      </w:r>
    </w:p>
    <w:p w:rsidR="001C66B0" w:rsidRDefault="00D005FC">
      <w:pPr>
        <w:pStyle w:val="a6"/>
        <w:numPr>
          <w:ilvl w:val="0"/>
          <w:numId w:val="7"/>
        </w:numPr>
        <w:tabs>
          <w:tab w:val="left" w:pos="142"/>
        </w:tabs>
        <w:spacing w:line="360" w:lineRule="auto"/>
        <w:ind w:left="142" w:rightChars="-34" w:right="-71" w:firstLine="425"/>
        <w:rPr>
          <w:rFonts w:ascii="宋体" w:eastAsia="宋体" w:hAnsi="宋体" w:cs="仿宋_GB2312"/>
          <w:szCs w:val="32"/>
        </w:rPr>
      </w:pPr>
      <w:r>
        <w:rPr>
          <w:rFonts w:hint="eastAsia"/>
        </w:rPr>
        <w:t>其他</w:t>
      </w:r>
      <w:r>
        <w:rPr>
          <w:rFonts w:ascii="宋体" w:eastAsia="宋体" w:hAnsi="宋体" w:cs="仿宋_GB2312" w:hint="eastAsia"/>
          <w:szCs w:val="32"/>
        </w:rPr>
        <w:t>与保险公司风险评估及保费计算相关的材料。</w:t>
      </w:r>
    </w:p>
    <w:p w:rsidR="001C66B0" w:rsidRDefault="00D005FC">
      <w:pPr>
        <w:pStyle w:val="3"/>
      </w:pPr>
      <w:r>
        <w:rPr>
          <w:rFonts w:hint="eastAsia"/>
        </w:rPr>
        <w:t>建筑工程质量安全综合保险的保险合同中应包括以下内容：</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投保人、被保险人、工程项目及工程相关责任方信息；</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保险责任范围和保险期间；</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保险金额、保险费及缴纳方式；</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免赔额、等待期；</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保险条款；</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特别约定；</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共保人信息（如有）；</w:t>
      </w:r>
    </w:p>
    <w:p w:rsidR="001C66B0" w:rsidRDefault="00D005FC">
      <w:pPr>
        <w:pStyle w:val="a6"/>
        <w:numPr>
          <w:ilvl w:val="0"/>
          <w:numId w:val="8"/>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理赔受理、现场查勘、索赔核定、理赔维修等具体服务流程。</w:t>
      </w:r>
    </w:p>
    <w:p w:rsidR="001C66B0" w:rsidRDefault="00D005FC">
      <w:pPr>
        <w:pStyle w:val="3"/>
        <w:rPr>
          <w:bCs/>
        </w:rPr>
      </w:pPr>
      <w:r>
        <w:rPr>
          <w:rFonts w:hint="eastAsia"/>
          <w:bCs/>
        </w:rPr>
        <w:t>保险公司应在合同签订</w:t>
      </w:r>
      <w:r>
        <w:rPr>
          <w:bCs/>
        </w:rPr>
        <w:t>10</w:t>
      </w:r>
      <w:r>
        <w:rPr>
          <w:rFonts w:hint="eastAsia"/>
          <w:bCs/>
        </w:rPr>
        <w:t>日内，将保险合同上传至信息管理平台。</w:t>
      </w:r>
    </w:p>
    <w:p w:rsidR="001C66B0" w:rsidRDefault="00D005FC">
      <w:pPr>
        <w:pStyle w:val="2"/>
        <w:spacing w:before="120"/>
        <w:rPr>
          <w:rFonts w:ascii="宋体" w:eastAsia="宋体" w:hAnsi="宋体" w:cs="仿宋_GB2312"/>
          <w:szCs w:val="32"/>
        </w:rPr>
      </w:pPr>
      <w:bookmarkStart w:id="14" w:name="_Toc176713648"/>
      <w:r>
        <w:rPr>
          <w:rFonts w:hint="eastAsia"/>
        </w:rPr>
        <w:t>风险管理机构委托</w:t>
      </w:r>
      <w:bookmarkEnd w:id="14"/>
    </w:p>
    <w:p w:rsidR="001C66B0" w:rsidRDefault="00D005FC">
      <w:pPr>
        <w:pStyle w:val="3"/>
      </w:pPr>
      <w:r>
        <w:rPr>
          <w:rFonts w:hint="eastAsia"/>
        </w:rPr>
        <w:t>保险公司应在投保工程项目保险合同签订后20日内，工程施工开始前，委托风险管理机构对投保项目开展风险管理服务，并以书面形式与风险管理机构签订风险管理服务合同。保险公司应选择社会信誉好、服务品质优良、风险管理经验丰富、与投保项目不存在关联或利益关系的独立第三方风险管理机构，不应采用最低价中标方式选定风险管理机构。</w:t>
      </w:r>
    </w:p>
    <w:p w:rsidR="001C66B0" w:rsidRDefault="00D005FC">
      <w:pPr>
        <w:pStyle w:val="3"/>
      </w:pPr>
      <w:r>
        <w:rPr>
          <w:rFonts w:hint="eastAsia"/>
        </w:rPr>
        <w:t>一个投保项目的质量风险管理服务和安全风险管理服务应委托同一个风险管理机构进行。</w:t>
      </w:r>
    </w:p>
    <w:p w:rsidR="001C66B0" w:rsidRDefault="00D005FC">
      <w:pPr>
        <w:pStyle w:val="3"/>
        <w:rPr>
          <w:rFonts w:ascii="宋体" w:eastAsia="宋体" w:hAnsi="宋体" w:cs="仿宋_GB2312"/>
          <w:szCs w:val="32"/>
        </w:rPr>
      </w:pPr>
      <w:r>
        <w:rPr>
          <w:rFonts w:hint="eastAsia"/>
        </w:rPr>
        <w:t>保险公司应保障风险管理服务费用投入。风险管理服务费用可分批支付,首期费用应在风险管</w:t>
      </w:r>
      <w:r>
        <w:rPr>
          <w:rFonts w:hint="eastAsia"/>
        </w:rPr>
        <w:lastRenderedPageBreak/>
        <w:t>理机构开展服务前支付，后续费用应在风险管理机构完成合同要求的相应工作后及时支付。</w:t>
      </w:r>
    </w:p>
    <w:p w:rsidR="001C66B0" w:rsidRDefault="00D005FC">
      <w:pPr>
        <w:pStyle w:val="3"/>
      </w:pPr>
      <w:r>
        <w:rPr>
          <w:rFonts w:hint="eastAsia"/>
        </w:rPr>
        <w:t>风险管理服务合同中应包括但不限于以下内容：</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合同各方</w:t>
      </w:r>
      <w:r>
        <w:rPr>
          <w:rFonts w:ascii="宋体" w:eastAsia="宋体" w:hAnsi="宋体" w:cs="仿宋_GB2312"/>
          <w:szCs w:val="32"/>
        </w:rPr>
        <w:t>信息</w:t>
      </w:r>
      <w:r>
        <w:rPr>
          <w:rFonts w:ascii="宋体" w:eastAsia="宋体" w:hAnsi="宋体" w:cs="仿宋_GB2312" w:hint="eastAsia"/>
          <w:szCs w:val="32"/>
        </w:rPr>
        <w:t>；</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保单</w:t>
      </w:r>
      <w:r>
        <w:rPr>
          <w:rFonts w:ascii="宋体" w:eastAsia="宋体" w:hAnsi="宋体" w:cs="仿宋_GB2312"/>
          <w:szCs w:val="32"/>
        </w:rPr>
        <w:t>信息</w:t>
      </w:r>
      <w:r>
        <w:rPr>
          <w:rFonts w:ascii="宋体" w:eastAsia="宋体" w:hAnsi="宋体" w:cs="仿宋_GB2312" w:hint="eastAsia"/>
          <w:szCs w:val="32"/>
        </w:rPr>
        <w:t>；</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风险管理</w:t>
      </w:r>
      <w:r>
        <w:rPr>
          <w:rFonts w:ascii="宋体" w:eastAsia="宋体" w:hAnsi="宋体" w:cs="仿宋_GB2312" w:hint="eastAsia"/>
          <w:szCs w:val="32"/>
        </w:rPr>
        <w:t>服务</w:t>
      </w:r>
      <w:r>
        <w:rPr>
          <w:rFonts w:ascii="宋体" w:eastAsia="宋体" w:hAnsi="宋体" w:cs="仿宋_GB2312"/>
          <w:szCs w:val="32"/>
        </w:rPr>
        <w:t>内容</w:t>
      </w:r>
      <w:r>
        <w:rPr>
          <w:rFonts w:ascii="宋体" w:eastAsia="宋体" w:hAnsi="宋体" w:cs="仿宋_GB2312" w:hint="eastAsia"/>
          <w:szCs w:val="32"/>
        </w:rPr>
        <w:t>；</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风险管理</w:t>
      </w:r>
      <w:r>
        <w:rPr>
          <w:rFonts w:ascii="宋体" w:eastAsia="宋体" w:hAnsi="宋体" w:cs="仿宋_GB2312" w:hint="eastAsia"/>
          <w:szCs w:val="32"/>
        </w:rPr>
        <w:t>服务</w:t>
      </w:r>
      <w:r>
        <w:rPr>
          <w:rFonts w:ascii="宋体" w:eastAsia="宋体" w:hAnsi="宋体" w:cs="仿宋_GB2312"/>
          <w:szCs w:val="32"/>
        </w:rPr>
        <w:t>计划；</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风险管理</w:t>
      </w:r>
      <w:r>
        <w:rPr>
          <w:rFonts w:ascii="宋体" w:eastAsia="宋体" w:hAnsi="宋体" w:cs="仿宋_GB2312" w:hint="eastAsia"/>
          <w:szCs w:val="32"/>
        </w:rPr>
        <w:t>服务</w:t>
      </w:r>
      <w:r>
        <w:rPr>
          <w:rFonts w:ascii="宋体" w:eastAsia="宋体" w:hAnsi="宋体" w:cs="仿宋_GB2312"/>
          <w:szCs w:val="32"/>
        </w:rPr>
        <w:t>费用；</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风险管理团队；</w:t>
      </w:r>
    </w:p>
    <w:p w:rsidR="001C66B0" w:rsidRDefault="00D005FC">
      <w:pPr>
        <w:pStyle w:val="a6"/>
        <w:numPr>
          <w:ilvl w:val="0"/>
          <w:numId w:val="9"/>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各方联系人信息</w:t>
      </w:r>
      <w:r>
        <w:rPr>
          <w:rFonts w:ascii="宋体" w:eastAsia="宋体" w:hAnsi="宋体" w:cs="仿宋_GB2312" w:hint="eastAsia"/>
          <w:szCs w:val="32"/>
        </w:rPr>
        <w:t>。</w:t>
      </w:r>
    </w:p>
    <w:p w:rsidR="001C66B0" w:rsidRDefault="00D005FC">
      <w:pPr>
        <w:pStyle w:val="3"/>
      </w:pPr>
      <w:r>
        <w:rPr>
          <w:rFonts w:hint="eastAsia"/>
        </w:rPr>
        <w:t>保险公司应在风险管理服务合同签订</w:t>
      </w:r>
      <w:r>
        <w:t>10</w:t>
      </w:r>
      <w:r>
        <w:rPr>
          <w:rFonts w:hint="eastAsia"/>
        </w:rPr>
        <w:t>日内，将风险管理服务合同上传至信息管理平台。</w:t>
      </w:r>
    </w:p>
    <w:p w:rsidR="001C66B0" w:rsidRDefault="00D005FC">
      <w:pPr>
        <w:pStyle w:val="3"/>
      </w:pPr>
      <w:bookmarkStart w:id="15" w:name="_Hlk99625860"/>
      <w:r>
        <w:rPr>
          <w:rFonts w:hint="eastAsia"/>
        </w:rPr>
        <w:t>保险公司应</w:t>
      </w:r>
      <w:bookmarkEnd w:id="15"/>
      <w:r>
        <w:rPr>
          <w:rFonts w:hint="eastAsia"/>
        </w:rPr>
        <w:t>制定对风险管理机构的管理考核办法，建立定期考核、奖优惩劣的机制，加强服务过程监督，保障风险管理服务质量。</w:t>
      </w:r>
    </w:p>
    <w:p w:rsidR="001C66B0" w:rsidRDefault="001C66B0"/>
    <w:bookmarkEnd w:id="10"/>
    <w:p w:rsidR="001C66B0" w:rsidRDefault="00D005FC">
      <w:pPr>
        <w:pStyle w:val="a6"/>
        <w:spacing w:line="360" w:lineRule="auto"/>
        <w:ind w:rightChars="-34" w:right="-71"/>
        <w:rPr>
          <w:rFonts w:asciiTheme="minorEastAsia" w:hAnsiTheme="minorEastAsia" w:cstheme="minorEastAsia"/>
          <w:bCs/>
          <w:szCs w:val="24"/>
        </w:rPr>
      </w:pPr>
      <w:r>
        <w:rPr>
          <w:rFonts w:asciiTheme="minorEastAsia" w:hAnsiTheme="minorEastAsia" w:cstheme="minorEastAsia"/>
          <w:bCs/>
          <w:szCs w:val="24"/>
        </w:rPr>
        <w:br w:type="page"/>
      </w:r>
    </w:p>
    <w:p w:rsidR="001C66B0" w:rsidRDefault="00D005FC">
      <w:pPr>
        <w:pStyle w:val="1"/>
      </w:pPr>
      <w:bookmarkStart w:id="16" w:name="_Toc176713649"/>
      <w:r>
        <w:rPr>
          <w:rFonts w:hint="eastAsia"/>
        </w:rPr>
        <w:lastRenderedPageBreak/>
        <w:t>保险承保及理赔服务</w:t>
      </w:r>
      <w:bookmarkEnd w:id="16"/>
    </w:p>
    <w:p w:rsidR="001C66B0" w:rsidRDefault="00D005FC">
      <w:pPr>
        <w:pStyle w:val="2"/>
        <w:spacing w:before="120"/>
      </w:pPr>
      <w:bookmarkStart w:id="17" w:name="_Toc176713650"/>
      <w:bookmarkStart w:id="18" w:name="_Toc100732442"/>
      <w:r>
        <w:rPr>
          <w:rFonts w:hint="eastAsia"/>
        </w:rPr>
        <w:t>承保要求</w:t>
      </w:r>
      <w:bookmarkEnd w:id="17"/>
      <w:bookmarkEnd w:id="18"/>
    </w:p>
    <w:p w:rsidR="001C66B0" w:rsidRDefault="00D005FC">
      <w:pPr>
        <w:pStyle w:val="3"/>
        <w:rPr>
          <w:b/>
        </w:rPr>
      </w:pPr>
      <w:bookmarkStart w:id="19" w:name="_Hlk101719061"/>
      <w:r>
        <w:rPr>
          <w:rFonts w:hint="eastAsia"/>
        </w:rPr>
        <w:t>承保工程质量安全综合保险的主承保保险公司应</w:t>
      </w:r>
      <w:r>
        <w:rPr>
          <w:rFonts w:cs="仿宋_GB2312" w:hint="eastAsia"/>
          <w:szCs w:val="32"/>
        </w:rPr>
        <w:t>符合以下基本条件：</w:t>
      </w:r>
    </w:p>
    <w:p w:rsidR="001C66B0" w:rsidRDefault="00D005FC">
      <w:pPr>
        <w:pStyle w:val="a6"/>
        <w:numPr>
          <w:ilvl w:val="0"/>
          <w:numId w:val="10"/>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szCs w:val="24"/>
        </w:rPr>
        <w:t>注册资本金达到6</w:t>
      </w:r>
      <w:r>
        <w:rPr>
          <w:rFonts w:asciiTheme="minorEastAsia" w:hAnsiTheme="minorEastAsia"/>
          <w:szCs w:val="24"/>
        </w:rPr>
        <w:t>0</w:t>
      </w:r>
      <w:r>
        <w:rPr>
          <w:rFonts w:asciiTheme="minorEastAsia" w:hAnsiTheme="minorEastAsia" w:hint="eastAsia"/>
          <w:szCs w:val="24"/>
        </w:rPr>
        <w:t>亿；</w:t>
      </w:r>
    </w:p>
    <w:p w:rsidR="001C66B0" w:rsidRDefault="00D005FC">
      <w:pPr>
        <w:pStyle w:val="a6"/>
        <w:numPr>
          <w:ilvl w:val="0"/>
          <w:numId w:val="10"/>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szCs w:val="24"/>
        </w:rPr>
        <w:t>近三年综合偿付能力充足率均不低于</w:t>
      </w:r>
      <w:r>
        <w:rPr>
          <w:rFonts w:asciiTheme="minorEastAsia" w:hAnsiTheme="minorEastAsia"/>
          <w:szCs w:val="24"/>
        </w:rPr>
        <w:t>15</w:t>
      </w:r>
      <w:r>
        <w:rPr>
          <w:rFonts w:asciiTheme="minorEastAsia" w:hAnsiTheme="minorEastAsia" w:hint="eastAsia"/>
          <w:szCs w:val="24"/>
        </w:rPr>
        <w:t>0%；</w:t>
      </w:r>
    </w:p>
    <w:p w:rsidR="001C66B0" w:rsidRDefault="00D005FC">
      <w:pPr>
        <w:pStyle w:val="a6"/>
        <w:numPr>
          <w:ilvl w:val="0"/>
          <w:numId w:val="10"/>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szCs w:val="24"/>
        </w:rPr>
        <w:t>在国内</w:t>
      </w:r>
      <w:r>
        <w:rPr>
          <w:rFonts w:asciiTheme="minorEastAsia" w:hAnsiTheme="minorEastAsia"/>
          <w:szCs w:val="24"/>
        </w:rPr>
        <w:t>3</w:t>
      </w:r>
      <w:r>
        <w:rPr>
          <w:rFonts w:asciiTheme="minorEastAsia" w:hAnsiTheme="minorEastAsia" w:hint="eastAsia"/>
          <w:szCs w:val="24"/>
        </w:rPr>
        <w:t>个或以上城市有工程质量潜在缺陷保险承保经验；</w:t>
      </w:r>
    </w:p>
    <w:p w:rsidR="001C66B0" w:rsidRDefault="00D005FC">
      <w:pPr>
        <w:pStyle w:val="a6"/>
        <w:numPr>
          <w:ilvl w:val="0"/>
          <w:numId w:val="10"/>
        </w:numPr>
        <w:tabs>
          <w:tab w:val="left" w:pos="142"/>
        </w:tabs>
        <w:spacing w:line="360" w:lineRule="auto"/>
        <w:ind w:left="142" w:rightChars="-34" w:right="-71" w:firstLine="425"/>
        <w:rPr>
          <w:rFonts w:ascii="宋体" w:eastAsia="宋体" w:hAnsi="宋体" w:cs="仿宋_GB2312"/>
          <w:szCs w:val="32"/>
        </w:rPr>
      </w:pPr>
      <w:r>
        <w:rPr>
          <w:rFonts w:asciiTheme="minorEastAsia" w:hAnsiTheme="minorEastAsia" w:hint="eastAsia"/>
          <w:szCs w:val="24"/>
        </w:rPr>
        <w:t>在所在地有服务机构，服务团队具备工程质量、安全保险的服务经验和能力，配备充足的建筑、法</w:t>
      </w:r>
      <w:r>
        <w:rPr>
          <w:rFonts w:ascii="宋体" w:eastAsia="宋体" w:hAnsi="宋体" w:cs="仿宋_GB2312" w:hint="eastAsia"/>
          <w:szCs w:val="32"/>
        </w:rPr>
        <w:t>律、风控等专业人员。</w:t>
      </w:r>
    </w:p>
    <w:p w:rsidR="001C66B0" w:rsidRDefault="00D005FC">
      <w:pPr>
        <w:pStyle w:val="3"/>
        <w:rPr>
          <w:b/>
        </w:rPr>
      </w:pPr>
      <w:r>
        <w:rPr>
          <w:rFonts w:hint="eastAsia"/>
        </w:rPr>
        <w:t>承保工程质量安全综合保险的共保保险公司应符合</w:t>
      </w:r>
      <w:r>
        <w:rPr>
          <w:rFonts w:cs="仿宋_GB2312" w:hint="eastAsia"/>
          <w:szCs w:val="32"/>
        </w:rPr>
        <w:t>以下基本条件：</w:t>
      </w:r>
    </w:p>
    <w:p w:rsidR="001C66B0" w:rsidRDefault="00D005FC">
      <w:pPr>
        <w:pStyle w:val="a6"/>
        <w:numPr>
          <w:ilvl w:val="0"/>
          <w:numId w:val="11"/>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szCs w:val="24"/>
        </w:rPr>
        <w:t>近三年综合偿付能力充足率达标；</w:t>
      </w:r>
    </w:p>
    <w:p w:rsidR="001C66B0" w:rsidRDefault="00D005FC">
      <w:pPr>
        <w:pStyle w:val="a6"/>
        <w:numPr>
          <w:ilvl w:val="0"/>
          <w:numId w:val="11"/>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szCs w:val="24"/>
        </w:rPr>
        <w:t>在国内有工程质量潜在缺陷保险承保经验。</w:t>
      </w:r>
    </w:p>
    <w:p w:rsidR="001C66B0" w:rsidRDefault="00D005FC">
      <w:pPr>
        <w:pStyle w:val="3"/>
      </w:pPr>
      <w:r>
        <w:rPr>
          <w:rFonts w:hint="eastAsia"/>
        </w:rPr>
        <w:t>建筑工程质量安全综合保险为综合保险，保险公司应出具一张保单，不得拆分为多张保单。保险公司应依照相关规定向金融监管部门备案相应保险条款及费率。</w:t>
      </w:r>
    </w:p>
    <w:p w:rsidR="001C66B0" w:rsidRDefault="00D005FC">
      <w:pPr>
        <w:pStyle w:val="3"/>
      </w:pPr>
      <w:r>
        <w:rPr>
          <w:rFonts w:hint="eastAsia"/>
        </w:rPr>
        <w:t>建筑工程质量安全综合保险的保障范围应包括：</w:t>
      </w:r>
    </w:p>
    <w:p w:rsidR="001C66B0" w:rsidRDefault="00D005FC">
      <w:pPr>
        <w:pStyle w:val="a6"/>
        <w:numPr>
          <w:ilvl w:val="0"/>
          <w:numId w:val="12"/>
        </w:numPr>
        <w:tabs>
          <w:tab w:val="left" w:pos="142"/>
        </w:tabs>
        <w:spacing w:line="360" w:lineRule="auto"/>
        <w:ind w:left="851" w:rightChars="-34" w:right="-71" w:hanging="284"/>
        <w:rPr>
          <w:rFonts w:ascii="宋体" w:hAnsi="宋体" w:cs="宋体"/>
          <w:bCs/>
        </w:rPr>
      </w:pPr>
      <w:r>
        <w:rPr>
          <w:rFonts w:ascii="宋体" w:hAnsi="宋体" w:cs="宋体" w:hint="eastAsia"/>
          <w:bCs/>
        </w:rPr>
        <w:t>地基基础工程和主体结构工程</w:t>
      </w:r>
    </w:p>
    <w:p w:rsidR="001C66B0" w:rsidRDefault="00D005FC">
      <w:pPr>
        <w:pStyle w:val="a6"/>
        <w:numPr>
          <w:ilvl w:val="3"/>
          <w:numId w:val="13"/>
        </w:numPr>
        <w:tabs>
          <w:tab w:val="left" w:pos="142"/>
        </w:tabs>
        <w:spacing w:line="360" w:lineRule="auto"/>
        <w:ind w:left="851" w:rightChars="-34" w:right="-71" w:firstLine="0"/>
        <w:jc w:val="left"/>
        <w:rPr>
          <w:rFonts w:ascii="宋体" w:hAnsi="宋体" w:cs="宋体"/>
          <w:bCs/>
        </w:rPr>
      </w:pPr>
      <w:r>
        <w:rPr>
          <w:rFonts w:ascii="宋体" w:hAnsi="宋体" w:cs="宋体" w:hint="eastAsia"/>
          <w:bCs/>
        </w:rPr>
        <w:t>整体或局部倒塌；</w:t>
      </w:r>
    </w:p>
    <w:p w:rsidR="001C66B0" w:rsidRDefault="00D005FC">
      <w:pPr>
        <w:pStyle w:val="a6"/>
        <w:numPr>
          <w:ilvl w:val="3"/>
          <w:numId w:val="13"/>
        </w:numPr>
        <w:tabs>
          <w:tab w:val="left" w:pos="142"/>
        </w:tabs>
        <w:spacing w:line="360" w:lineRule="auto"/>
        <w:ind w:left="851" w:rightChars="-34" w:right="-71" w:firstLine="0"/>
        <w:jc w:val="left"/>
        <w:rPr>
          <w:rFonts w:ascii="宋体" w:hAnsi="宋体" w:cs="宋体"/>
          <w:bCs/>
        </w:rPr>
      </w:pPr>
      <w:r>
        <w:rPr>
          <w:rFonts w:ascii="宋体" w:hAnsi="宋体" w:cs="宋体" w:hint="eastAsia"/>
          <w:bCs/>
        </w:rPr>
        <w:t>地基产生超出设计标准允许的不均匀沉降；</w:t>
      </w:r>
    </w:p>
    <w:p w:rsidR="001C66B0" w:rsidRDefault="00D005FC">
      <w:pPr>
        <w:pStyle w:val="a6"/>
        <w:numPr>
          <w:ilvl w:val="3"/>
          <w:numId w:val="13"/>
        </w:numPr>
        <w:tabs>
          <w:tab w:val="left" w:pos="142"/>
        </w:tabs>
        <w:spacing w:line="360" w:lineRule="auto"/>
        <w:ind w:left="851" w:rightChars="-34" w:right="-71" w:firstLine="0"/>
        <w:jc w:val="left"/>
        <w:rPr>
          <w:rFonts w:ascii="宋体" w:hAnsi="宋体" w:cs="宋体"/>
          <w:bCs/>
        </w:rPr>
      </w:pPr>
      <w:r>
        <w:rPr>
          <w:rFonts w:ascii="宋体" w:hAnsi="宋体" w:cs="宋体" w:hint="eastAsia"/>
          <w:bCs/>
        </w:rPr>
        <w:t>阳台、雨篷、挑檐等悬挑构件和外墙结构坍塌或出现影响使用安全的裂缝、破损、断裂；</w:t>
      </w:r>
    </w:p>
    <w:p w:rsidR="001C66B0" w:rsidRDefault="00D005FC">
      <w:pPr>
        <w:pStyle w:val="a6"/>
        <w:numPr>
          <w:ilvl w:val="3"/>
          <w:numId w:val="13"/>
        </w:numPr>
        <w:tabs>
          <w:tab w:val="left" w:pos="142"/>
        </w:tabs>
        <w:spacing w:line="360" w:lineRule="auto"/>
        <w:ind w:left="851" w:rightChars="-34" w:right="-71" w:firstLine="0"/>
        <w:jc w:val="left"/>
        <w:rPr>
          <w:rFonts w:ascii="宋体" w:hAnsi="宋体" w:cs="宋体"/>
          <w:bCs/>
        </w:rPr>
      </w:pPr>
      <w:r>
        <w:rPr>
          <w:rFonts w:ascii="宋体" w:hAnsi="宋体" w:cs="宋体" w:hint="eastAsia"/>
          <w:bCs/>
        </w:rPr>
        <w:t>主体承重结构部位出现影响结构安全的裂缝、变形、破损、断裂。</w:t>
      </w:r>
    </w:p>
    <w:p w:rsidR="001C66B0" w:rsidRDefault="00D005FC">
      <w:pPr>
        <w:pStyle w:val="a6"/>
        <w:numPr>
          <w:ilvl w:val="0"/>
          <w:numId w:val="12"/>
        </w:numPr>
        <w:tabs>
          <w:tab w:val="left" w:pos="142"/>
        </w:tabs>
        <w:spacing w:line="360" w:lineRule="auto"/>
        <w:ind w:left="851" w:rightChars="-34" w:right="-71" w:hanging="284"/>
        <w:rPr>
          <w:rFonts w:ascii="宋体" w:hAnsi="宋体" w:cs="宋体"/>
          <w:bCs/>
        </w:rPr>
      </w:pPr>
      <w:r>
        <w:rPr>
          <w:rFonts w:ascii="宋体" w:hAnsi="宋体" w:cs="宋体" w:hint="eastAsia"/>
          <w:bCs/>
        </w:rPr>
        <w:t>外围护系统工程</w:t>
      </w:r>
    </w:p>
    <w:p w:rsidR="001C66B0" w:rsidRDefault="00D005FC">
      <w:pPr>
        <w:tabs>
          <w:tab w:val="left" w:pos="142"/>
        </w:tabs>
        <w:spacing w:line="360" w:lineRule="auto"/>
        <w:ind w:leftChars="405" w:left="850" w:rightChars="-34" w:right="-71"/>
        <w:jc w:val="left"/>
        <w:rPr>
          <w:rFonts w:ascii="宋体" w:hAnsi="宋体" w:cs="宋体"/>
          <w:bCs/>
        </w:rPr>
      </w:pPr>
      <w:r>
        <w:rPr>
          <w:rFonts w:ascii="宋体" w:hAnsi="宋体" w:cs="宋体" w:hint="eastAsia"/>
          <w:bCs/>
        </w:rPr>
        <w:t>外围护系统的保温层破损、脱落。</w:t>
      </w:r>
    </w:p>
    <w:p w:rsidR="001C66B0" w:rsidRDefault="00D005FC">
      <w:pPr>
        <w:pStyle w:val="a6"/>
        <w:numPr>
          <w:ilvl w:val="0"/>
          <w:numId w:val="12"/>
        </w:numPr>
        <w:tabs>
          <w:tab w:val="left" w:pos="142"/>
        </w:tabs>
        <w:spacing w:line="360" w:lineRule="auto"/>
        <w:ind w:leftChars="270" w:left="851" w:rightChars="-34" w:right="-71" w:hanging="284"/>
        <w:rPr>
          <w:rFonts w:ascii="宋体" w:hAnsi="宋体" w:cs="宋体"/>
          <w:bCs/>
        </w:rPr>
      </w:pPr>
      <w:r>
        <w:rPr>
          <w:rFonts w:ascii="宋体" w:hAnsi="宋体" w:cs="宋体" w:hint="eastAsia"/>
          <w:bCs/>
        </w:rPr>
        <w:t>防水工程</w:t>
      </w:r>
    </w:p>
    <w:p w:rsidR="001C66B0" w:rsidRDefault="00D005FC">
      <w:pPr>
        <w:pStyle w:val="a6"/>
        <w:numPr>
          <w:ilvl w:val="0"/>
          <w:numId w:val="14"/>
        </w:numPr>
        <w:tabs>
          <w:tab w:val="left" w:pos="142"/>
        </w:tabs>
        <w:spacing w:line="360" w:lineRule="auto"/>
        <w:ind w:leftChars="407" w:left="1275" w:rightChars="-34" w:right="-71"/>
        <w:jc w:val="left"/>
        <w:rPr>
          <w:rFonts w:ascii="宋体" w:hAnsi="宋体" w:cs="宋体"/>
          <w:bCs/>
        </w:rPr>
      </w:pPr>
      <w:r>
        <w:rPr>
          <w:rFonts w:ascii="宋体" w:hAnsi="宋体" w:cs="宋体" w:hint="eastAsia"/>
          <w:bCs/>
        </w:rPr>
        <w:t>地下、屋面、厕浴间防水渗漏；</w:t>
      </w:r>
    </w:p>
    <w:p w:rsidR="001C66B0" w:rsidRDefault="00D005FC">
      <w:pPr>
        <w:pStyle w:val="a6"/>
        <w:numPr>
          <w:ilvl w:val="0"/>
          <w:numId w:val="14"/>
        </w:numPr>
        <w:tabs>
          <w:tab w:val="left" w:pos="142"/>
        </w:tabs>
        <w:spacing w:line="360" w:lineRule="auto"/>
        <w:ind w:leftChars="407" w:left="1275" w:rightChars="-34" w:right="-71"/>
        <w:jc w:val="left"/>
        <w:rPr>
          <w:rFonts w:ascii="宋体" w:hAnsi="宋体" w:cs="宋体"/>
          <w:bCs/>
        </w:rPr>
      </w:pPr>
      <w:r>
        <w:rPr>
          <w:rFonts w:ascii="宋体" w:hAnsi="宋体" w:cs="宋体" w:hint="eastAsia"/>
          <w:bCs/>
        </w:rPr>
        <w:t>外墙（包括外窗与外墙交接处）渗漏；</w:t>
      </w:r>
    </w:p>
    <w:p w:rsidR="001C66B0" w:rsidRDefault="00D005FC">
      <w:pPr>
        <w:pStyle w:val="a6"/>
        <w:numPr>
          <w:ilvl w:val="0"/>
          <w:numId w:val="14"/>
        </w:numPr>
        <w:tabs>
          <w:tab w:val="left" w:pos="142"/>
        </w:tabs>
        <w:spacing w:line="360" w:lineRule="auto"/>
        <w:ind w:leftChars="407" w:left="1275" w:rightChars="-34" w:right="-71"/>
        <w:jc w:val="left"/>
        <w:rPr>
          <w:rFonts w:ascii="宋体" w:hAnsi="宋体" w:cs="宋体"/>
          <w:bCs/>
        </w:rPr>
      </w:pPr>
      <w:r>
        <w:rPr>
          <w:rFonts w:ascii="宋体" w:hAnsi="宋体" w:cs="宋体" w:hint="eastAsia"/>
          <w:bCs/>
        </w:rPr>
        <w:t>其他有防水要求的部位渗漏。</w:t>
      </w:r>
    </w:p>
    <w:p w:rsidR="001C66B0" w:rsidRDefault="00D005FC">
      <w:pPr>
        <w:pStyle w:val="a6"/>
        <w:numPr>
          <w:ilvl w:val="0"/>
          <w:numId w:val="12"/>
        </w:numPr>
        <w:tabs>
          <w:tab w:val="left" w:pos="142"/>
        </w:tabs>
        <w:spacing w:line="360" w:lineRule="auto"/>
        <w:ind w:leftChars="270" w:left="851" w:rightChars="-34" w:right="-71" w:hanging="284"/>
        <w:rPr>
          <w:rFonts w:ascii="宋体" w:hAnsi="宋体"/>
          <w:bCs/>
        </w:rPr>
      </w:pPr>
      <w:r>
        <w:rPr>
          <w:rFonts w:ascii="宋体" w:hAnsi="宋体" w:cs="宋体" w:hint="eastAsia"/>
          <w:bCs/>
        </w:rPr>
        <w:t>装饰装修工程</w:t>
      </w:r>
    </w:p>
    <w:p w:rsidR="001C66B0" w:rsidRDefault="00D005FC">
      <w:pPr>
        <w:pStyle w:val="a6"/>
        <w:numPr>
          <w:ilvl w:val="0"/>
          <w:numId w:val="12"/>
        </w:numPr>
        <w:tabs>
          <w:tab w:val="left" w:pos="142"/>
        </w:tabs>
        <w:spacing w:line="360" w:lineRule="auto"/>
        <w:ind w:leftChars="270" w:left="851" w:rightChars="-34" w:right="-71" w:hanging="284"/>
        <w:rPr>
          <w:rFonts w:ascii="宋体" w:hAnsi="宋体"/>
          <w:bCs/>
        </w:rPr>
      </w:pPr>
      <w:r>
        <w:rPr>
          <w:rFonts w:ascii="宋体" w:hAnsi="宋体" w:cs="宋体" w:hint="eastAsia"/>
          <w:bCs/>
        </w:rPr>
        <w:t>电气管线、给排水管道、设备安装工程</w:t>
      </w:r>
    </w:p>
    <w:p w:rsidR="001C66B0" w:rsidRDefault="00D005FC">
      <w:pPr>
        <w:pStyle w:val="a6"/>
        <w:numPr>
          <w:ilvl w:val="0"/>
          <w:numId w:val="12"/>
        </w:numPr>
        <w:tabs>
          <w:tab w:val="left" w:pos="142"/>
        </w:tabs>
        <w:spacing w:line="360" w:lineRule="auto"/>
        <w:ind w:leftChars="270" w:left="851" w:rightChars="-34" w:right="-71" w:hanging="284"/>
        <w:rPr>
          <w:rFonts w:ascii="宋体" w:hAnsi="宋体"/>
          <w:bCs/>
        </w:rPr>
      </w:pPr>
      <w:r>
        <w:rPr>
          <w:rFonts w:ascii="宋体" w:hAnsi="宋体" w:cs="宋体" w:hint="eastAsia"/>
          <w:bCs/>
        </w:rPr>
        <w:t>供热与供冷系统工程</w:t>
      </w:r>
    </w:p>
    <w:p w:rsidR="001C66B0" w:rsidRDefault="00D005FC">
      <w:pPr>
        <w:pStyle w:val="a6"/>
        <w:numPr>
          <w:ilvl w:val="0"/>
          <w:numId w:val="12"/>
        </w:numPr>
        <w:tabs>
          <w:tab w:val="left" w:pos="142"/>
        </w:tabs>
        <w:spacing w:line="360" w:lineRule="auto"/>
        <w:ind w:leftChars="270" w:left="851" w:rightChars="-34" w:right="-71" w:hanging="284"/>
        <w:rPr>
          <w:rFonts w:ascii="宋体" w:hAnsi="宋体"/>
          <w:bCs/>
        </w:rPr>
      </w:pPr>
      <w:r>
        <w:rPr>
          <w:rFonts w:ascii="宋体" w:hAnsi="宋体" w:cs="宋体" w:hint="eastAsia"/>
          <w:bCs/>
        </w:rPr>
        <w:t>因生产安全事故或施工意外事故导致的以下</w:t>
      </w:r>
      <w:r w:rsidR="00CA66E3">
        <w:rPr>
          <w:rFonts w:ascii="宋体" w:hAnsi="宋体" w:cs="宋体" w:hint="eastAsia"/>
          <w:bCs/>
        </w:rPr>
        <w:t>人身</w:t>
      </w:r>
      <w:r w:rsidR="00930BE5">
        <w:rPr>
          <w:rFonts w:ascii="宋体" w:hAnsi="宋体" w:cs="宋体" w:hint="eastAsia"/>
          <w:bCs/>
        </w:rPr>
        <w:t>伤亡</w:t>
      </w:r>
      <w:r w:rsidR="00CA66E3">
        <w:rPr>
          <w:rFonts w:ascii="宋体" w:hAnsi="宋体" w:cs="宋体" w:hint="eastAsia"/>
          <w:bCs/>
        </w:rPr>
        <w:t>和财产损失的</w:t>
      </w:r>
      <w:r w:rsidR="00930BE5">
        <w:rPr>
          <w:rFonts w:ascii="宋体" w:hAnsi="宋体" w:cs="宋体" w:hint="eastAsia"/>
          <w:bCs/>
        </w:rPr>
        <w:t>经济</w:t>
      </w:r>
      <w:r w:rsidR="00CA66E3">
        <w:rPr>
          <w:rFonts w:ascii="宋体" w:hAnsi="宋体" w:cs="宋体" w:hint="eastAsia"/>
          <w:bCs/>
        </w:rPr>
        <w:t>赔偿责任</w:t>
      </w:r>
      <w:r>
        <w:rPr>
          <w:rFonts w:ascii="宋体" w:hAnsi="宋体" w:cs="宋体" w:hint="eastAsia"/>
          <w:bCs/>
        </w:rPr>
        <w:t>：</w:t>
      </w:r>
    </w:p>
    <w:p w:rsidR="001C66B0" w:rsidRDefault="00D005FC">
      <w:pPr>
        <w:pStyle w:val="a6"/>
        <w:numPr>
          <w:ilvl w:val="0"/>
          <w:numId w:val="15"/>
        </w:numPr>
        <w:tabs>
          <w:tab w:val="left" w:pos="142"/>
        </w:tabs>
        <w:spacing w:line="360" w:lineRule="auto"/>
        <w:ind w:leftChars="407" w:left="1133" w:rightChars="-34" w:right="-71" w:hanging="278"/>
        <w:jc w:val="left"/>
        <w:rPr>
          <w:rFonts w:ascii="宋体" w:hAnsi="宋体" w:cs="宋体"/>
          <w:bCs/>
        </w:rPr>
      </w:pPr>
      <w:r>
        <w:rPr>
          <w:rFonts w:ascii="宋体" w:hAnsi="宋体" w:cs="宋体" w:hint="eastAsia"/>
          <w:bCs/>
        </w:rPr>
        <w:t>从业人员人身伤亡</w:t>
      </w:r>
      <w:r w:rsidR="00CA66E3">
        <w:rPr>
          <w:rFonts w:ascii="宋体" w:hAnsi="宋体" w:cs="宋体" w:hint="eastAsia"/>
          <w:bCs/>
        </w:rPr>
        <w:t>赔偿责任</w:t>
      </w:r>
      <w:r>
        <w:rPr>
          <w:rFonts w:ascii="宋体" w:hAnsi="宋体" w:cs="宋体" w:hint="eastAsia"/>
          <w:bCs/>
        </w:rPr>
        <w:t>（</w:t>
      </w:r>
      <w:r w:rsidR="00CA66E3">
        <w:rPr>
          <w:rFonts w:ascii="宋体" w:hAnsi="宋体" w:cs="宋体" w:hint="eastAsia"/>
          <w:bCs/>
        </w:rPr>
        <w:t>含医疗费用</w:t>
      </w:r>
      <w:r>
        <w:rPr>
          <w:rFonts w:ascii="宋体" w:hAnsi="宋体" w:cs="宋体" w:hint="eastAsia"/>
          <w:bCs/>
        </w:rPr>
        <w:t>）；</w:t>
      </w:r>
    </w:p>
    <w:p w:rsidR="001C66B0" w:rsidRDefault="00D005FC">
      <w:pPr>
        <w:pStyle w:val="a6"/>
        <w:numPr>
          <w:ilvl w:val="0"/>
          <w:numId w:val="15"/>
        </w:numPr>
        <w:tabs>
          <w:tab w:val="left" w:pos="142"/>
        </w:tabs>
        <w:spacing w:line="360" w:lineRule="auto"/>
        <w:ind w:leftChars="407" w:left="1133" w:rightChars="-34" w:right="-71" w:hanging="278"/>
        <w:jc w:val="left"/>
        <w:rPr>
          <w:rFonts w:ascii="宋体" w:hAnsi="宋体" w:cs="宋体"/>
          <w:bCs/>
        </w:rPr>
      </w:pPr>
      <w:r>
        <w:rPr>
          <w:rFonts w:ascii="宋体" w:hAnsi="宋体" w:cs="宋体" w:hint="eastAsia"/>
          <w:bCs/>
        </w:rPr>
        <w:t>第三者</w:t>
      </w:r>
      <w:r w:rsidR="00CA66E3">
        <w:rPr>
          <w:rFonts w:ascii="宋体" w:hAnsi="宋体" w:cs="宋体" w:hint="eastAsia"/>
          <w:bCs/>
        </w:rPr>
        <w:t>人身伤亡和直接财产损失赔偿责任（含医疗费用）；</w:t>
      </w:r>
    </w:p>
    <w:p w:rsidR="009871D1" w:rsidRPr="009871D1" w:rsidRDefault="009871D1" w:rsidP="00930BE5">
      <w:pPr>
        <w:pStyle w:val="a6"/>
        <w:numPr>
          <w:ilvl w:val="0"/>
          <w:numId w:val="15"/>
        </w:numPr>
        <w:tabs>
          <w:tab w:val="left" w:pos="142"/>
        </w:tabs>
        <w:spacing w:line="360" w:lineRule="auto"/>
        <w:ind w:leftChars="-132" w:left="-277" w:rightChars="-34" w:right="-71" w:firstLine="1134"/>
        <w:jc w:val="left"/>
        <w:rPr>
          <w:rFonts w:ascii="宋体" w:hAnsi="宋体" w:cs="宋体"/>
          <w:bCs/>
        </w:rPr>
      </w:pPr>
      <w:r w:rsidRPr="009871D1">
        <w:rPr>
          <w:rFonts w:ascii="宋体" w:hAnsi="宋体" w:cs="宋体" w:hint="eastAsia"/>
          <w:bCs/>
        </w:rPr>
        <w:t>紧急抢险救援、事故善后处理和事故鉴定方面支出的必要、合理的费用(综合费用</w:t>
      </w:r>
      <w:r>
        <w:rPr>
          <w:rFonts w:ascii="宋体" w:hAnsi="宋体" w:cs="宋体" w:hint="eastAsia"/>
          <w:bCs/>
        </w:rPr>
        <w:t>)</w:t>
      </w:r>
      <w:r w:rsidR="00930BE5">
        <w:rPr>
          <w:rFonts w:ascii="宋体" w:hAnsi="宋体" w:cs="宋体" w:hint="eastAsia"/>
          <w:bCs/>
        </w:rPr>
        <w:t>；</w:t>
      </w:r>
    </w:p>
    <w:p w:rsidR="001C66B0" w:rsidRDefault="00D005FC">
      <w:pPr>
        <w:pStyle w:val="a6"/>
        <w:numPr>
          <w:ilvl w:val="0"/>
          <w:numId w:val="15"/>
        </w:numPr>
        <w:tabs>
          <w:tab w:val="left" w:pos="142"/>
        </w:tabs>
        <w:spacing w:line="360" w:lineRule="auto"/>
        <w:ind w:leftChars="407" w:left="1133" w:rightChars="-34" w:right="-71" w:hanging="278"/>
        <w:jc w:val="left"/>
        <w:rPr>
          <w:rFonts w:ascii="宋体" w:hAnsi="宋体" w:cs="宋体"/>
          <w:bCs/>
        </w:rPr>
      </w:pPr>
      <w:r>
        <w:rPr>
          <w:rFonts w:ascii="宋体" w:hAnsi="宋体" w:cs="宋体" w:hint="eastAsia"/>
          <w:bCs/>
        </w:rPr>
        <w:t>法律费用。</w:t>
      </w:r>
    </w:p>
    <w:p w:rsidR="001C66B0" w:rsidRDefault="00D005FC">
      <w:pPr>
        <w:pStyle w:val="3"/>
      </w:pPr>
      <w:bookmarkStart w:id="20" w:name="_Hlk105176472"/>
      <w:r>
        <w:rPr>
          <w:rFonts w:hint="eastAsia"/>
        </w:rPr>
        <w:lastRenderedPageBreak/>
        <w:t>建筑工程质量安全综合保险的保险责任期</w:t>
      </w:r>
      <w:bookmarkEnd w:id="20"/>
      <w:r>
        <w:rPr>
          <w:rFonts w:hint="eastAsia"/>
        </w:rPr>
        <w:t>应符合表4.1.5规定。</w:t>
      </w:r>
    </w:p>
    <w:p w:rsidR="001C66B0" w:rsidRDefault="00D005FC">
      <w:pPr>
        <w:jc w:val="center"/>
        <w:rPr>
          <w:rFonts w:asciiTheme="minorEastAsia" w:hAnsiTheme="minorEastAsia"/>
          <w:b/>
        </w:rPr>
      </w:pPr>
      <w:r>
        <w:rPr>
          <w:rFonts w:asciiTheme="minorEastAsia" w:hAnsiTheme="minorEastAsia" w:hint="eastAsia"/>
          <w:b/>
        </w:rPr>
        <w:t>表4.1.5建筑工程质量安全综合保险的保险责任期</w:t>
      </w:r>
    </w:p>
    <w:tbl>
      <w:tblPr>
        <w:tblW w:w="86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tblPr>
      <w:tblGrid>
        <w:gridCol w:w="329"/>
        <w:gridCol w:w="2873"/>
        <w:gridCol w:w="2304"/>
        <w:gridCol w:w="3172"/>
      </w:tblGrid>
      <w:tr w:rsidR="001C66B0">
        <w:trPr>
          <w:cantSplit/>
          <w:trHeight w:val="401"/>
          <w:jc w:val="center"/>
        </w:trPr>
        <w:tc>
          <w:tcPr>
            <w:tcW w:w="3202" w:type="dxa"/>
            <w:gridSpan w:val="2"/>
            <w:vAlign w:val="center"/>
          </w:tcPr>
          <w:p w:rsidR="001C66B0" w:rsidRDefault="00D005FC">
            <w:pPr>
              <w:widowControl/>
              <w:jc w:val="center"/>
              <w:rPr>
                <w:rFonts w:ascii="宋体" w:eastAsia="宋体" w:hAnsi="宋体"/>
                <w:b/>
                <w:bCs/>
                <w:kern w:val="0"/>
                <w:sz w:val="18"/>
                <w:szCs w:val="18"/>
              </w:rPr>
            </w:pPr>
            <w:r>
              <w:rPr>
                <w:rFonts w:ascii="宋体" w:eastAsia="宋体" w:hAnsi="宋体" w:hint="eastAsia"/>
                <w:b/>
                <w:bCs/>
                <w:kern w:val="0"/>
                <w:sz w:val="18"/>
                <w:szCs w:val="18"/>
              </w:rPr>
              <w:t>保险责任项目</w:t>
            </w:r>
          </w:p>
        </w:tc>
        <w:tc>
          <w:tcPr>
            <w:tcW w:w="2304" w:type="dxa"/>
            <w:vAlign w:val="center"/>
          </w:tcPr>
          <w:p w:rsidR="001C66B0" w:rsidRDefault="00D005FC">
            <w:pPr>
              <w:widowControl/>
              <w:jc w:val="center"/>
              <w:rPr>
                <w:rFonts w:ascii="宋体" w:eastAsia="宋体" w:hAnsi="宋体"/>
                <w:b/>
                <w:bCs/>
                <w:kern w:val="0"/>
                <w:sz w:val="18"/>
                <w:szCs w:val="18"/>
              </w:rPr>
            </w:pPr>
            <w:r>
              <w:rPr>
                <w:rFonts w:ascii="宋体" w:eastAsia="宋体" w:hAnsi="宋体" w:hint="eastAsia"/>
                <w:b/>
                <w:bCs/>
                <w:kern w:val="0"/>
                <w:sz w:val="18"/>
                <w:szCs w:val="18"/>
              </w:rPr>
              <w:t>保险等待期</w:t>
            </w:r>
          </w:p>
        </w:tc>
        <w:tc>
          <w:tcPr>
            <w:tcW w:w="3172" w:type="dxa"/>
            <w:vAlign w:val="center"/>
          </w:tcPr>
          <w:p w:rsidR="001C66B0" w:rsidRDefault="00D005FC">
            <w:pPr>
              <w:widowControl/>
              <w:jc w:val="center"/>
              <w:rPr>
                <w:rFonts w:ascii="宋体" w:eastAsia="宋体" w:hAnsi="宋体"/>
                <w:b/>
                <w:bCs/>
                <w:kern w:val="0"/>
                <w:sz w:val="18"/>
                <w:szCs w:val="18"/>
              </w:rPr>
            </w:pPr>
            <w:r>
              <w:rPr>
                <w:rFonts w:ascii="宋体" w:eastAsia="宋体" w:hAnsi="宋体" w:hint="eastAsia"/>
                <w:b/>
                <w:bCs/>
                <w:kern w:val="0"/>
                <w:sz w:val="18"/>
                <w:szCs w:val="18"/>
              </w:rPr>
              <w:t>保险责任期</w:t>
            </w:r>
          </w:p>
        </w:tc>
      </w:tr>
      <w:tr w:rsidR="001C66B0">
        <w:trPr>
          <w:cantSplit/>
          <w:trHeight w:val="258"/>
          <w:jc w:val="center"/>
        </w:trPr>
        <w:tc>
          <w:tcPr>
            <w:tcW w:w="329" w:type="dxa"/>
            <w:noWrap/>
            <w:tcMar>
              <w:top w:w="0" w:type="dxa"/>
              <w:left w:w="108" w:type="dxa"/>
              <w:bottom w:w="0" w:type="dxa"/>
              <w:right w:w="108" w:type="dxa"/>
            </w:tcMar>
            <w:vAlign w:val="center"/>
          </w:tcPr>
          <w:p w:rsidR="001C66B0" w:rsidRDefault="00D005FC">
            <w:pPr>
              <w:widowControl/>
              <w:ind w:leftChars="11" w:left="23"/>
              <w:rPr>
                <w:rFonts w:ascii="宋体" w:eastAsia="宋体" w:hAnsi="宋体"/>
                <w:kern w:val="0"/>
                <w:sz w:val="18"/>
                <w:szCs w:val="18"/>
              </w:rPr>
            </w:pPr>
            <w:r>
              <w:rPr>
                <w:rFonts w:ascii="宋体" w:eastAsia="宋体" w:hAnsi="宋体" w:hint="eastAsia"/>
                <w:kern w:val="0"/>
                <w:sz w:val="18"/>
                <w:szCs w:val="18"/>
              </w:rPr>
              <w:t>1</w:t>
            </w:r>
          </w:p>
        </w:tc>
        <w:tc>
          <w:tcPr>
            <w:tcW w:w="2873" w:type="dxa"/>
            <w:vAlign w:val="center"/>
          </w:tcPr>
          <w:p w:rsidR="001C66B0" w:rsidRDefault="00D005FC">
            <w:pPr>
              <w:widowControl/>
              <w:ind w:leftChars="11" w:left="23"/>
              <w:rPr>
                <w:rFonts w:ascii="宋体" w:eastAsia="宋体" w:hAnsi="宋体"/>
                <w:kern w:val="0"/>
                <w:sz w:val="18"/>
                <w:szCs w:val="18"/>
              </w:rPr>
            </w:pPr>
            <w:r>
              <w:rPr>
                <w:rFonts w:ascii="宋体" w:eastAsia="宋体" w:hAnsi="宋体" w:hint="eastAsia"/>
                <w:kern w:val="0"/>
                <w:sz w:val="18"/>
                <w:szCs w:val="18"/>
              </w:rPr>
              <w:t>地基基础和主体结构工程</w:t>
            </w:r>
          </w:p>
        </w:tc>
        <w:tc>
          <w:tcPr>
            <w:tcW w:w="2304" w:type="dxa"/>
            <w:vMerge w:val="restart"/>
            <w:noWrap/>
            <w:tcMar>
              <w:top w:w="0" w:type="dxa"/>
              <w:left w:w="108" w:type="dxa"/>
              <w:bottom w:w="0" w:type="dxa"/>
              <w:right w:w="108" w:type="dxa"/>
            </w:tcMar>
            <w:vAlign w:val="center"/>
          </w:tcPr>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保险等待期两年，自投保项目竣工验收合格之日起算；</w:t>
            </w:r>
          </w:p>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保险责任期自等待期结束之日起算</w:t>
            </w:r>
          </w:p>
        </w:tc>
        <w:tc>
          <w:tcPr>
            <w:tcW w:w="3172" w:type="dxa"/>
            <w:vAlign w:val="center"/>
          </w:tcPr>
          <w:p w:rsidR="001C66B0" w:rsidRDefault="00D005FC">
            <w:pPr>
              <w:ind w:rightChars="60" w:right="126"/>
              <w:jc w:val="center"/>
              <w:rPr>
                <w:rFonts w:ascii="宋体" w:eastAsia="宋体" w:hAnsi="宋体"/>
                <w:kern w:val="0"/>
                <w:sz w:val="18"/>
                <w:szCs w:val="18"/>
              </w:rPr>
            </w:pPr>
            <w:r>
              <w:rPr>
                <w:rFonts w:ascii="宋体" w:eastAsia="宋体" w:hAnsi="宋体" w:hint="eastAsia"/>
                <w:kern w:val="0"/>
                <w:sz w:val="18"/>
                <w:szCs w:val="18"/>
              </w:rPr>
              <w:t>十年</w:t>
            </w: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widowControl/>
              <w:ind w:leftChars="11" w:left="23"/>
              <w:rPr>
                <w:rFonts w:ascii="宋体" w:eastAsia="宋体" w:hAnsi="宋体"/>
                <w:kern w:val="0"/>
                <w:sz w:val="18"/>
                <w:szCs w:val="18"/>
              </w:rPr>
            </w:pPr>
            <w:r>
              <w:rPr>
                <w:rFonts w:ascii="宋体" w:eastAsia="宋体" w:hAnsi="宋体" w:hint="eastAsia"/>
                <w:kern w:val="0"/>
                <w:sz w:val="18"/>
                <w:szCs w:val="18"/>
              </w:rPr>
              <w:t>2</w:t>
            </w:r>
          </w:p>
        </w:tc>
        <w:tc>
          <w:tcPr>
            <w:tcW w:w="2873" w:type="dxa"/>
            <w:vAlign w:val="center"/>
          </w:tcPr>
          <w:p w:rsidR="001C66B0" w:rsidRDefault="00D005FC">
            <w:pPr>
              <w:widowControl/>
              <w:ind w:leftChars="11" w:left="23"/>
              <w:rPr>
                <w:rFonts w:ascii="宋体" w:eastAsia="宋体" w:hAnsi="宋体"/>
                <w:kern w:val="0"/>
                <w:sz w:val="18"/>
                <w:szCs w:val="18"/>
              </w:rPr>
            </w:pPr>
            <w:r>
              <w:rPr>
                <w:rFonts w:ascii="宋体" w:eastAsia="宋体" w:hAnsi="宋体" w:hint="eastAsia"/>
                <w:kern w:val="0"/>
                <w:sz w:val="18"/>
                <w:szCs w:val="18"/>
              </w:rPr>
              <w:t>外围护系统工程</w:t>
            </w:r>
          </w:p>
        </w:tc>
        <w:tc>
          <w:tcPr>
            <w:tcW w:w="2304" w:type="dxa"/>
            <w:vMerge/>
            <w:noWrap/>
            <w:tcMar>
              <w:top w:w="0" w:type="dxa"/>
              <w:left w:w="108" w:type="dxa"/>
              <w:bottom w:w="0" w:type="dxa"/>
              <w:right w:w="108" w:type="dxa"/>
            </w:tcMar>
            <w:vAlign w:val="center"/>
          </w:tcPr>
          <w:p w:rsidR="001C66B0" w:rsidRDefault="001C66B0">
            <w:pPr>
              <w:widowControl/>
              <w:ind w:leftChars="11" w:left="23"/>
              <w:jc w:val="center"/>
              <w:rPr>
                <w:rFonts w:ascii="宋体" w:eastAsia="宋体" w:hAnsi="宋体"/>
                <w:kern w:val="0"/>
                <w:sz w:val="18"/>
                <w:szCs w:val="18"/>
              </w:rPr>
            </w:pPr>
          </w:p>
        </w:tc>
        <w:tc>
          <w:tcPr>
            <w:tcW w:w="3172" w:type="dxa"/>
            <w:vMerge w:val="restart"/>
            <w:vAlign w:val="center"/>
          </w:tcPr>
          <w:p w:rsidR="001C66B0" w:rsidRDefault="00D005FC">
            <w:pPr>
              <w:ind w:rightChars="60" w:right="126"/>
              <w:jc w:val="center"/>
              <w:rPr>
                <w:rFonts w:ascii="宋体" w:eastAsia="宋体" w:hAnsi="宋体"/>
                <w:kern w:val="0"/>
                <w:sz w:val="18"/>
                <w:szCs w:val="18"/>
              </w:rPr>
            </w:pPr>
            <w:r>
              <w:rPr>
                <w:rFonts w:ascii="宋体" w:eastAsia="宋体" w:hAnsi="宋体" w:hint="eastAsia"/>
                <w:kern w:val="0"/>
                <w:sz w:val="18"/>
                <w:szCs w:val="18"/>
              </w:rPr>
              <w:t>五</w:t>
            </w:r>
            <w:r>
              <w:rPr>
                <w:rFonts w:ascii="宋体" w:eastAsia="宋体" w:hAnsi="宋体"/>
                <w:kern w:val="0"/>
                <w:sz w:val="18"/>
                <w:szCs w:val="18"/>
              </w:rPr>
              <w:t>年</w:t>
            </w: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3</w:t>
            </w:r>
          </w:p>
        </w:tc>
        <w:tc>
          <w:tcPr>
            <w:tcW w:w="2873" w:type="dxa"/>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防水工程</w:t>
            </w:r>
          </w:p>
        </w:tc>
        <w:tc>
          <w:tcPr>
            <w:tcW w:w="2304" w:type="dxa"/>
            <w:vMerge/>
            <w:noWrap/>
            <w:tcMar>
              <w:top w:w="0" w:type="dxa"/>
              <w:left w:w="108" w:type="dxa"/>
              <w:bottom w:w="0" w:type="dxa"/>
              <w:right w:w="108" w:type="dxa"/>
            </w:tcMar>
            <w:vAlign w:val="center"/>
          </w:tcPr>
          <w:p w:rsidR="001C66B0" w:rsidRDefault="001C66B0">
            <w:pPr>
              <w:widowControl/>
              <w:ind w:leftChars="11" w:left="23"/>
              <w:jc w:val="center"/>
              <w:rPr>
                <w:rFonts w:ascii="宋体" w:eastAsia="宋体" w:hAnsi="宋体"/>
                <w:kern w:val="0"/>
                <w:sz w:val="18"/>
                <w:szCs w:val="18"/>
              </w:rPr>
            </w:pPr>
          </w:p>
        </w:tc>
        <w:tc>
          <w:tcPr>
            <w:tcW w:w="3172" w:type="dxa"/>
            <w:vMerge/>
            <w:vAlign w:val="center"/>
          </w:tcPr>
          <w:p w:rsidR="001C66B0" w:rsidRDefault="001C66B0">
            <w:pPr>
              <w:widowControl/>
              <w:ind w:leftChars="-4" w:left="-8"/>
              <w:jc w:val="center"/>
              <w:rPr>
                <w:rFonts w:ascii="宋体" w:eastAsia="宋体" w:hAnsi="宋体"/>
                <w:kern w:val="0"/>
                <w:sz w:val="18"/>
                <w:szCs w:val="18"/>
              </w:rPr>
            </w:pP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4</w:t>
            </w:r>
          </w:p>
        </w:tc>
        <w:tc>
          <w:tcPr>
            <w:tcW w:w="2873" w:type="dxa"/>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装饰装修工程</w:t>
            </w:r>
          </w:p>
        </w:tc>
        <w:tc>
          <w:tcPr>
            <w:tcW w:w="2304" w:type="dxa"/>
            <w:vMerge/>
            <w:noWrap/>
            <w:tcMar>
              <w:top w:w="0" w:type="dxa"/>
              <w:left w:w="108" w:type="dxa"/>
              <w:bottom w:w="0" w:type="dxa"/>
              <w:right w:w="108" w:type="dxa"/>
            </w:tcMar>
            <w:vAlign w:val="center"/>
          </w:tcPr>
          <w:p w:rsidR="001C66B0" w:rsidRDefault="001C66B0">
            <w:pPr>
              <w:widowControl/>
              <w:ind w:leftChars="11" w:left="23"/>
              <w:jc w:val="center"/>
              <w:rPr>
                <w:rFonts w:ascii="宋体" w:eastAsia="宋体" w:hAnsi="宋体"/>
                <w:kern w:val="0"/>
                <w:sz w:val="18"/>
                <w:szCs w:val="18"/>
              </w:rPr>
            </w:pPr>
          </w:p>
        </w:tc>
        <w:tc>
          <w:tcPr>
            <w:tcW w:w="3172" w:type="dxa"/>
            <w:vMerge w:val="restart"/>
            <w:vAlign w:val="center"/>
          </w:tcPr>
          <w:p w:rsidR="001C66B0" w:rsidRDefault="00D005FC">
            <w:pPr>
              <w:ind w:rightChars="60" w:right="126"/>
              <w:jc w:val="center"/>
              <w:rPr>
                <w:rFonts w:ascii="宋体" w:eastAsia="宋体" w:hAnsi="宋体"/>
                <w:kern w:val="0"/>
                <w:sz w:val="18"/>
                <w:szCs w:val="18"/>
              </w:rPr>
            </w:pPr>
            <w:r>
              <w:rPr>
                <w:rFonts w:ascii="宋体" w:eastAsia="宋体" w:hAnsi="宋体" w:hint="eastAsia"/>
                <w:kern w:val="0"/>
                <w:sz w:val="18"/>
                <w:szCs w:val="18"/>
              </w:rPr>
              <w:t>两年</w:t>
            </w: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5</w:t>
            </w:r>
          </w:p>
        </w:tc>
        <w:tc>
          <w:tcPr>
            <w:tcW w:w="2873" w:type="dxa"/>
            <w:vAlign w:val="center"/>
          </w:tcPr>
          <w:p w:rsidR="001C66B0" w:rsidRDefault="00D005FC">
            <w:pPr>
              <w:ind w:leftChars="11" w:left="23"/>
              <w:rPr>
                <w:rFonts w:ascii="宋体" w:eastAsia="宋体" w:hAnsi="宋体"/>
                <w:kern w:val="0"/>
                <w:sz w:val="18"/>
                <w:szCs w:val="18"/>
              </w:rPr>
            </w:pPr>
            <w:r>
              <w:rPr>
                <w:rFonts w:ascii="宋体" w:eastAsia="宋体" w:hAnsi="宋体" w:hint="eastAsia"/>
                <w:kern w:val="0"/>
                <w:sz w:val="18"/>
                <w:szCs w:val="18"/>
              </w:rPr>
              <w:t>电气管线、给排水管道、设备安装工程</w:t>
            </w:r>
          </w:p>
        </w:tc>
        <w:tc>
          <w:tcPr>
            <w:tcW w:w="2304" w:type="dxa"/>
            <w:vMerge/>
            <w:noWrap/>
            <w:tcMar>
              <w:top w:w="0" w:type="dxa"/>
              <w:left w:w="108" w:type="dxa"/>
              <w:bottom w:w="0" w:type="dxa"/>
              <w:right w:w="108" w:type="dxa"/>
            </w:tcMar>
            <w:vAlign w:val="center"/>
          </w:tcPr>
          <w:p w:rsidR="001C66B0" w:rsidRDefault="001C66B0">
            <w:pPr>
              <w:widowControl/>
              <w:ind w:leftChars="11" w:left="23"/>
              <w:jc w:val="center"/>
              <w:rPr>
                <w:rFonts w:ascii="宋体" w:eastAsia="宋体" w:hAnsi="宋体"/>
                <w:kern w:val="0"/>
                <w:sz w:val="18"/>
                <w:szCs w:val="18"/>
              </w:rPr>
            </w:pPr>
          </w:p>
        </w:tc>
        <w:tc>
          <w:tcPr>
            <w:tcW w:w="3172" w:type="dxa"/>
            <w:vMerge/>
            <w:vAlign w:val="center"/>
          </w:tcPr>
          <w:p w:rsidR="001C66B0" w:rsidRDefault="001C66B0">
            <w:pPr>
              <w:widowControl/>
              <w:ind w:leftChars="-4" w:left="-8"/>
              <w:jc w:val="center"/>
              <w:rPr>
                <w:rFonts w:ascii="宋体" w:eastAsia="宋体" w:hAnsi="宋体"/>
                <w:kern w:val="0"/>
                <w:sz w:val="18"/>
                <w:szCs w:val="18"/>
              </w:rPr>
            </w:pP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6</w:t>
            </w:r>
          </w:p>
        </w:tc>
        <w:tc>
          <w:tcPr>
            <w:tcW w:w="2873" w:type="dxa"/>
            <w:vAlign w:val="center"/>
          </w:tcPr>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供热与供冷系统工程</w:t>
            </w:r>
          </w:p>
        </w:tc>
        <w:tc>
          <w:tcPr>
            <w:tcW w:w="2304" w:type="dxa"/>
            <w:vMerge/>
            <w:noWrap/>
            <w:tcMar>
              <w:top w:w="0" w:type="dxa"/>
              <w:left w:w="108" w:type="dxa"/>
              <w:bottom w:w="0" w:type="dxa"/>
              <w:right w:w="108" w:type="dxa"/>
            </w:tcMar>
            <w:vAlign w:val="center"/>
          </w:tcPr>
          <w:p w:rsidR="001C66B0" w:rsidRDefault="001C66B0">
            <w:pPr>
              <w:widowControl/>
              <w:ind w:leftChars="11" w:left="23"/>
              <w:jc w:val="center"/>
              <w:rPr>
                <w:rFonts w:ascii="宋体" w:eastAsia="宋体" w:hAnsi="宋体"/>
                <w:kern w:val="0"/>
                <w:sz w:val="18"/>
                <w:szCs w:val="18"/>
              </w:rPr>
            </w:pPr>
          </w:p>
        </w:tc>
        <w:tc>
          <w:tcPr>
            <w:tcW w:w="3172" w:type="dxa"/>
            <w:vAlign w:val="center"/>
          </w:tcPr>
          <w:p w:rsidR="001C66B0" w:rsidRDefault="00D005FC">
            <w:pPr>
              <w:ind w:leftChars="-4" w:left="-8"/>
              <w:jc w:val="center"/>
              <w:rPr>
                <w:rFonts w:ascii="宋体" w:eastAsia="宋体" w:hAnsi="宋体"/>
                <w:kern w:val="0"/>
                <w:sz w:val="18"/>
                <w:szCs w:val="18"/>
              </w:rPr>
            </w:pPr>
            <w:r>
              <w:rPr>
                <w:rFonts w:ascii="宋体" w:eastAsia="宋体" w:hAnsi="宋体" w:hint="eastAsia"/>
                <w:kern w:val="0"/>
                <w:sz w:val="18"/>
                <w:szCs w:val="18"/>
              </w:rPr>
              <w:t>两个采暖期、供冷期</w:t>
            </w:r>
          </w:p>
        </w:tc>
      </w:tr>
      <w:tr w:rsidR="001C66B0">
        <w:trPr>
          <w:cantSplit/>
          <w:trHeight w:val="283"/>
          <w:jc w:val="center"/>
        </w:trPr>
        <w:tc>
          <w:tcPr>
            <w:tcW w:w="329" w:type="dxa"/>
            <w:noWrap/>
            <w:tcMar>
              <w:top w:w="0" w:type="dxa"/>
              <w:left w:w="108" w:type="dxa"/>
              <w:bottom w:w="0" w:type="dxa"/>
              <w:right w:w="108" w:type="dxa"/>
            </w:tcMar>
            <w:vAlign w:val="center"/>
          </w:tcPr>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7</w:t>
            </w:r>
          </w:p>
        </w:tc>
        <w:tc>
          <w:tcPr>
            <w:tcW w:w="2873" w:type="dxa"/>
            <w:vAlign w:val="center"/>
          </w:tcPr>
          <w:p w:rsidR="001C66B0" w:rsidRDefault="00D005FC">
            <w:pPr>
              <w:widowControl/>
              <w:ind w:leftChars="11" w:left="23"/>
              <w:jc w:val="left"/>
              <w:rPr>
                <w:rFonts w:ascii="宋体" w:eastAsia="宋体" w:hAnsi="宋体"/>
                <w:kern w:val="0"/>
                <w:sz w:val="18"/>
                <w:szCs w:val="18"/>
              </w:rPr>
            </w:pPr>
            <w:r>
              <w:rPr>
                <w:rFonts w:ascii="宋体" w:eastAsia="宋体" w:hAnsi="宋体" w:hint="eastAsia"/>
                <w:kern w:val="0"/>
                <w:sz w:val="18"/>
                <w:szCs w:val="18"/>
              </w:rPr>
              <w:t>因生产安全事故或施工意外事故导致的损失</w:t>
            </w:r>
          </w:p>
        </w:tc>
        <w:tc>
          <w:tcPr>
            <w:tcW w:w="2304" w:type="dxa"/>
            <w:noWrap/>
            <w:tcMar>
              <w:top w:w="0" w:type="dxa"/>
              <w:left w:w="108" w:type="dxa"/>
              <w:bottom w:w="0" w:type="dxa"/>
              <w:right w:w="108" w:type="dxa"/>
            </w:tcMar>
            <w:vAlign w:val="center"/>
          </w:tcPr>
          <w:p w:rsidR="001C66B0" w:rsidRDefault="00D005FC">
            <w:pPr>
              <w:widowControl/>
              <w:ind w:leftChars="11" w:left="23"/>
              <w:jc w:val="center"/>
              <w:rPr>
                <w:rFonts w:ascii="宋体" w:eastAsia="宋体" w:hAnsi="宋体"/>
                <w:kern w:val="0"/>
                <w:sz w:val="18"/>
                <w:szCs w:val="18"/>
              </w:rPr>
            </w:pPr>
            <w:r>
              <w:rPr>
                <w:rFonts w:ascii="宋体" w:hAnsi="宋体" w:cs="宋体" w:hint="eastAsia"/>
                <w:bCs/>
                <w:sz w:val="18"/>
                <w:szCs w:val="18"/>
              </w:rPr>
              <w:t>无</w:t>
            </w:r>
          </w:p>
        </w:tc>
        <w:tc>
          <w:tcPr>
            <w:tcW w:w="3172" w:type="dxa"/>
            <w:vAlign w:val="center"/>
          </w:tcPr>
          <w:p w:rsidR="001C66B0" w:rsidRDefault="00D005FC">
            <w:pPr>
              <w:ind w:leftChars="-4" w:left="-8"/>
              <w:jc w:val="center"/>
              <w:rPr>
                <w:rFonts w:ascii="宋体" w:eastAsia="宋体" w:hAnsi="宋体"/>
                <w:kern w:val="0"/>
                <w:sz w:val="18"/>
                <w:szCs w:val="18"/>
              </w:rPr>
            </w:pPr>
            <w:r>
              <w:rPr>
                <w:rFonts w:ascii="宋体" w:hAnsi="宋体" w:cs="宋体" w:hint="eastAsia"/>
                <w:bCs/>
                <w:sz w:val="18"/>
                <w:szCs w:val="18"/>
              </w:rPr>
              <w:t>自被保险工程获得施工许可证之日或保单生效之日起始，以后发生者为准，至被保险工程竣工验收合格之时终止</w:t>
            </w:r>
          </w:p>
        </w:tc>
      </w:tr>
    </w:tbl>
    <w:p w:rsidR="001C66B0" w:rsidRDefault="001C66B0">
      <w:pPr>
        <w:tabs>
          <w:tab w:val="left" w:pos="142"/>
        </w:tabs>
        <w:spacing w:line="360" w:lineRule="auto"/>
        <w:ind w:rightChars="-34" w:right="-71" w:firstLineChars="202" w:firstLine="424"/>
        <w:jc w:val="left"/>
        <w:rPr>
          <w:rFonts w:ascii="宋体" w:hAnsi="宋体" w:cs="宋体"/>
          <w:bCs/>
        </w:rPr>
      </w:pPr>
    </w:p>
    <w:p w:rsidR="001C66B0" w:rsidRDefault="00D005FC">
      <w:pPr>
        <w:pStyle w:val="3"/>
      </w:pPr>
      <w:r>
        <w:rPr>
          <w:rFonts w:hint="eastAsia"/>
        </w:rPr>
        <w:t>保险费应按下列公式计算：</w:t>
      </w:r>
    </w:p>
    <w:p w:rsidR="001D1108" w:rsidRDefault="00D005FC" w:rsidP="001D1108">
      <w:pPr>
        <w:tabs>
          <w:tab w:val="left" w:pos="142"/>
        </w:tabs>
        <w:spacing w:line="360" w:lineRule="auto"/>
        <w:ind w:rightChars="-34" w:right="-71" w:firstLineChars="200" w:firstLine="420"/>
      </w:pPr>
      <w:r>
        <w:rPr>
          <w:rFonts w:hint="eastAsia"/>
        </w:rPr>
        <w:t>建筑工程质量安全综合保险费＝建筑安装工程总造价（保险金额）×保险费率</w:t>
      </w:r>
      <w:bookmarkStart w:id="21" w:name="OLE_LINK1"/>
    </w:p>
    <w:p w:rsidR="001C66B0" w:rsidRDefault="00D005FC" w:rsidP="001D1108">
      <w:pPr>
        <w:tabs>
          <w:tab w:val="left" w:pos="142"/>
        </w:tabs>
        <w:spacing w:line="360" w:lineRule="auto"/>
        <w:ind w:rightChars="-34" w:right="-71" w:firstLineChars="200" w:firstLine="420"/>
        <w:rPr>
          <w:rFonts w:asciiTheme="minorEastAsia" w:hAnsiTheme="minorEastAsia" w:cs="仿宋_GB2312"/>
          <w:szCs w:val="32"/>
        </w:rPr>
      </w:pPr>
      <w:r w:rsidRPr="001D1108">
        <w:rPr>
          <w:rFonts w:ascii="仿宋_GB2312" w:cs="仿宋_GB2312" w:hint="eastAsia"/>
          <w:szCs w:val="32"/>
        </w:rPr>
        <w:t>式中：</w:t>
      </w:r>
      <w:bookmarkEnd w:id="21"/>
      <w:r w:rsidRPr="001D1108">
        <w:rPr>
          <w:rFonts w:ascii="仿宋_GB2312" w:cs="仿宋_GB2312" w:hint="eastAsia"/>
          <w:szCs w:val="32"/>
        </w:rPr>
        <w:t>建筑</w:t>
      </w:r>
      <w:r w:rsidRPr="001D1108">
        <w:rPr>
          <w:rFonts w:hint="eastAsia"/>
        </w:rPr>
        <w:t>安</w:t>
      </w:r>
      <w:r>
        <w:rPr>
          <w:rFonts w:hint="eastAsia"/>
        </w:rPr>
        <w:t>装工程总造价</w:t>
      </w:r>
      <w:r>
        <w:rPr>
          <w:rFonts w:ascii="仿宋_GB2312" w:cs="仿宋_GB2312" w:hint="eastAsia"/>
          <w:szCs w:val="32"/>
        </w:rPr>
        <w:t>——为完成工程项目建造、生产性设备及配套工程安装所需的费用，包括建设单位支付给从事建筑安装工程施工单位全部生产费用。</w:t>
      </w:r>
    </w:p>
    <w:p w:rsidR="001C66B0" w:rsidRDefault="00D005FC">
      <w:pPr>
        <w:pStyle w:val="3"/>
        <w:rPr>
          <w:rFonts w:ascii="仿宋_GB2312" w:hAnsi="仿宋" w:cs="仿宋_GB2312"/>
          <w:szCs w:val="32"/>
        </w:rPr>
      </w:pPr>
      <w:bookmarkStart w:id="22" w:name="OLE_LINK2"/>
      <w:bookmarkEnd w:id="19"/>
      <w:r>
        <w:rPr>
          <w:rFonts w:hint="eastAsia"/>
        </w:rPr>
        <w:t>建筑工</w:t>
      </w:r>
      <w:bookmarkStart w:id="23" w:name="OLE_LINK3"/>
      <w:r>
        <w:rPr>
          <w:rFonts w:hint="eastAsia"/>
        </w:rPr>
        <w:t>程</w:t>
      </w:r>
      <w:bookmarkEnd w:id="22"/>
      <w:bookmarkEnd w:id="23"/>
      <w:r>
        <w:rPr>
          <w:rFonts w:ascii="仿宋_GB2312" w:hAnsi="仿宋" w:cs="仿宋_GB2312" w:hint="eastAsia"/>
          <w:szCs w:val="32"/>
        </w:rPr>
        <w:t>质量安全保险的承保可采用独家承保模式或共保模式。如采用共保模式承保，主承保公司应选择满足服务与偿付能力要求的共保公司形成共保体，共保体之间应以共保协议的形式明确各自在投保项目上的承保份额、权利和义务。共保体中，主承保公司的承保份额不应低于</w:t>
      </w:r>
      <w:r>
        <w:rPr>
          <w:rFonts w:ascii="仿宋_GB2312" w:hAnsi="仿宋" w:cs="仿宋_GB2312" w:hint="eastAsia"/>
          <w:szCs w:val="32"/>
        </w:rPr>
        <w:t>60%</w:t>
      </w:r>
      <w:r>
        <w:rPr>
          <w:rFonts w:ascii="仿宋_GB2312" w:hAnsi="仿宋" w:cs="仿宋_GB2312" w:hint="eastAsia"/>
          <w:szCs w:val="32"/>
        </w:rPr>
        <w:t>，并应承担共保体管理责任，负责牵头实施承保、理赔、风险管理服务。</w:t>
      </w:r>
    </w:p>
    <w:p w:rsidR="001C66B0" w:rsidRDefault="00D005FC">
      <w:pPr>
        <w:pStyle w:val="3"/>
      </w:pPr>
      <w:r>
        <w:rPr>
          <w:rFonts w:hint="eastAsia"/>
        </w:rPr>
        <w:t>主体结构相连的建筑物应作为一个危险单位。一个危险单位应对应一份保险单，</w:t>
      </w:r>
      <w:r>
        <w:rPr>
          <w:rFonts w:ascii="仿宋_GB2312" w:hAnsi="仿宋" w:cs="仿宋_GB2312" w:hint="eastAsia"/>
          <w:szCs w:val="32"/>
        </w:rPr>
        <w:t>保险单涵盖的范围应包括住宅和</w:t>
      </w:r>
      <w:r>
        <w:rPr>
          <w:rFonts w:hint="eastAsia"/>
        </w:rPr>
        <w:t>同一地块的其他建筑物（配套幼儿园、小学、中学、商场、商铺、物业管理用房、变配电房、垃圾站、社区服务站、设备房等）。保险公司不得将一个危险单位内的项目分割承保，不得以减少建筑面积、降低实际工程造价、剔除装修、绿化费用等方式缩小承保范围、降低保额。</w:t>
      </w:r>
    </w:p>
    <w:p w:rsidR="001C66B0" w:rsidRDefault="00D005FC">
      <w:pPr>
        <w:pStyle w:val="3"/>
        <w:rPr>
          <w:rFonts w:ascii="宋体" w:hAnsi="宋体"/>
        </w:rPr>
      </w:pPr>
      <w:r>
        <w:rPr>
          <w:rFonts w:ascii="宋体" w:hAnsi="宋体" w:hint="eastAsia"/>
        </w:rPr>
        <w:t>保险公司应建立</w:t>
      </w:r>
      <w:bookmarkStart w:id="24" w:name="_Hlk101712997"/>
      <w:r>
        <w:rPr>
          <w:rFonts w:ascii="宋体" w:hAnsi="宋体" w:hint="eastAsia"/>
        </w:rPr>
        <w:t>建筑工程质量安全综合保险</w:t>
      </w:r>
      <w:bookmarkEnd w:id="24"/>
      <w:r>
        <w:rPr>
          <w:rFonts w:ascii="宋体" w:hAnsi="宋体" w:hint="eastAsia"/>
        </w:rPr>
        <w:t>报价管理制度,规范报价行为,以书面的方式向客户报价,内容包括但不限于：项目名称、地理位置、建筑面积、建筑安装工程总造价、项目总保额、保险费率等；报价文书应由相应业务部门负责人签字并由公司盖章后发送至询价客户。不得以电话、短信、邮件、微信等非书面方式报价。</w:t>
      </w:r>
    </w:p>
    <w:p w:rsidR="001C66B0" w:rsidRDefault="00D005FC">
      <w:pPr>
        <w:pStyle w:val="3"/>
      </w:pPr>
      <w:r>
        <w:rPr>
          <w:rFonts w:hint="eastAsia"/>
        </w:rPr>
        <w:t>承保建筑工程质量安全综合保险应遵循如下流程：</w:t>
      </w:r>
    </w:p>
    <w:p w:rsidR="001C66B0" w:rsidRDefault="00D005FC">
      <w:pPr>
        <w:pStyle w:val="a6"/>
        <w:numPr>
          <w:ilvl w:val="0"/>
          <w:numId w:val="16"/>
        </w:numPr>
        <w:tabs>
          <w:tab w:val="left" w:pos="142"/>
        </w:tabs>
        <w:spacing w:line="360" w:lineRule="auto"/>
        <w:ind w:left="142" w:rightChars="-34" w:right="-71" w:firstLine="425"/>
      </w:pPr>
      <w:r>
        <w:rPr>
          <w:rFonts w:hint="eastAsia"/>
        </w:rPr>
        <w:t>投保人发起询价，提供项目信息；</w:t>
      </w:r>
    </w:p>
    <w:p w:rsidR="001C66B0" w:rsidRDefault="00D005FC">
      <w:pPr>
        <w:pStyle w:val="a6"/>
        <w:numPr>
          <w:ilvl w:val="0"/>
          <w:numId w:val="16"/>
        </w:numPr>
        <w:tabs>
          <w:tab w:val="left" w:pos="142"/>
        </w:tabs>
        <w:spacing w:line="360" w:lineRule="auto"/>
        <w:ind w:left="142" w:rightChars="-34" w:right="-71" w:firstLine="425"/>
      </w:pPr>
      <w:r>
        <w:rPr>
          <w:rFonts w:hint="eastAsia"/>
        </w:rPr>
        <w:t>保险公司向投保人收集投保资料并做出书面正式报价，投保所需资料应符合规定；</w:t>
      </w:r>
    </w:p>
    <w:p w:rsidR="001C66B0" w:rsidRDefault="00D005FC">
      <w:pPr>
        <w:pStyle w:val="a6"/>
        <w:numPr>
          <w:ilvl w:val="0"/>
          <w:numId w:val="16"/>
        </w:numPr>
        <w:tabs>
          <w:tab w:val="left" w:pos="142"/>
        </w:tabs>
        <w:spacing w:line="360" w:lineRule="auto"/>
        <w:ind w:left="142" w:rightChars="-34" w:right="-71" w:firstLine="425"/>
      </w:pPr>
      <w:r>
        <w:rPr>
          <w:rFonts w:hint="eastAsia"/>
        </w:rPr>
        <w:t>投保人与保险公司确认投保方案，保险公司指派风险管理机构针对投保项目进行初次查勘并出具初步查勘报告（如需要）；</w:t>
      </w:r>
    </w:p>
    <w:p w:rsidR="001C66B0" w:rsidRDefault="00D005FC">
      <w:pPr>
        <w:pStyle w:val="a6"/>
        <w:numPr>
          <w:ilvl w:val="0"/>
          <w:numId w:val="16"/>
        </w:numPr>
        <w:tabs>
          <w:tab w:val="left" w:pos="142"/>
        </w:tabs>
        <w:spacing w:line="360" w:lineRule="auto"/>
        <w:ind w:left="142" w:rightChars="-34" w:right="-71" w:firstLine="425"/>
      </w:pPr>
      <w:r>
        <w:rPr>
          <w:rFonts w:hint="eastAsia"/>
        </w:rPr>
        <w:t>投保人出具盖章完备的投保单；</w:t>
      </w:r>
    </w:p>
    <w:p w:rsidR="001C66B0" w:rsidRDefault="00D005FC">
      <w:pPr>
        <w:pStyle w:val="a6"/>
        <w:numPr>
          <w:ilvl w:val="0"/>
          <w:numId w:val="16"/>
        </w:numPr>
        <w:tabs>
          <w:tab w:val="left" w:pos="142"/>
        </w:tabs>
        <w:spacing w:line="360" w:lineRule="auto"/>
        <w:ind w:left="142" w:rightChars="-34" w:right="-71" w:firstLine="425"/>
      </w:pPr>
      <w:r>
        <w:rPr>
          <w:rFonts w:hint="eastAsia"/>
        </w:rPr>
        <w:t>在申领施工许可证前</w:t>
      </w:r>
      <w:r>
        <w:t>投保人一次性缴纳</w:t>
      </w:r>
      <w:r>
        <w:rPr>
          <w:rFonts w:hint="eastAsia"/>
        </w:rPr>
        <w:t>全额</w:t>
      </w:r>
      <w:r>
        <w:t>保险费</w:t>
      </w:r>
      <w:r>
        <w:rPr>
          <w:rFonts w:hint="eastAsia"/>
        </w:rPr>
        <w:t>；</w:t>
      </w:r>
    </w:p>
    <w:p w:rsidR="001C66B0" w:rsidRDefault="00D005FC">
      <w:pPr>
        <w:pStyle w:val="a6"/>
        <w:numPr>
          <w:ilvl w:val="0"/>
          <w:numId w:val="16"/>
        </w:numPr>
        <w:tabs>
          <w:tab w:val="left" w:pos="142"/>
        </w:tabs>
        <w:spacing w:line="360" w:lineRule="auto"/>
        <w:ind w:left="142" w:rightChars="-34" w:right="-71" w:firstLine="425"/>
      </w:pPr>
      <w:r>
        <w:lastRenderedPageBreak/>
        <w:t>保险</w:t>
      </w:r>
      <w:r>
        <w:rPr>
          <w:rFonts w:hint="eastAsia"/>
        </w:rPr>
        <w:t>公司在收到保费后</w:t>
      </w:r>
      <w:r>
        <w:rPr>
          <w:rFonts w:hint="eastAsia"/>
        </w:rPr>
        <w:t>3</w:t>
      </w:r>
      <w:r>
        <w:rPr>
          <w:rFonts w:hint="eastAsia"/>
        </w:rPr>
        <w:t>个工作日内</w:t>
      </w:r>
      <w:r>
        <w:t>签发正式保险单</w:t>
      </w:r>
      <w:r>
        <w:rPr>
          <w:rFonts w:hint="eastAsia"/>
        </w:rPr>
        <w:t>，并将保单上传至信息管理平台。</w:t>
      </w:r>
    </w:p>
    <w:p w:rsidR="001C66B0" w:rsidRDefault="00D005FC">
      <w:pPr>
        <w:pStyle w:val="2"/>
        <w:spacing w:before="120"/>
      </w:pPr>
      <w:bookmarkStart w:id="25" w:name="_Toc100732443"/>
      <w:bookmarkStart w:id="26" w:name="_Toc176713651"/>
      <w:r>
        <w:rPr>
          <w:rFonts w:hint="eastAsia"/>
        </w:rPr>
        <w:t>理赔</w:t>
      </w:r>
      <w:bookmarkEnd w:id="25"/>
      <w:r>
        <w:rPr>
          <w:rFonts w:hint="eastAsia"/>
        </w:rPr>
        <w:t>要求</w:t>
      </w:r>
      <w:bookmarkEnd w:id="26"/>
    </w:p>
    <w:p w:rsidR="001C66B0" w:rsidRDefault="00D005FC">
      <w:pPr>
        <w:pStyle w:val="3"/>
      </w:pPr>
      <w:r>
        <w:rPr>
          <w:rFonts w:hint="eastAsia"/>
        </w:rPr>
        <w:t>保险公司建筑工程质量安全综合保险的理赔工作，应包括以下工作职责：</w:t>
      </w:r>
    </w:p>
    <w:p w:rsidR="001C66B0" w:rsidRDefault="00D005FC">
      <w:pPr>
        <w:pStyle w:val="a6"/>
        <w:numPr>
          <w:ilvl w:val="0"/>
          <w:numId w:val="17"/>
        </w:numPr>
        <w:tabs>
          <w:tab w:val="left" w:pos="142"/>
        </w:tabs>
        <w:spacing w:line="360" w:lineRule="auto"/>
        <w:ind w:left="851" w:rightChars="-34" w:right="-71" w:hanging="284"/>
      </w:pPr>
      <w:r>
        <w:rPr>
          <w:rFonts w:ascii="宋体" w:eastAsia="宋体" w:hAnsi="宋体" w:cs="仿宋_GB2312" w:hint="eastAsia"/>
          <w:szCs w:val="32"/>
        </w:rPr>
        <w:t>制定和完</w:t>
      </w:r>
      <w:r>
        <w:rPr>
          <w:rFonts w:hint="eastAsia"/>
        </w:rPr>
        <w:t>善建筑工程质量安全综合保险理赔管理办法和服务方案；</w:t>
      </w:r>
    </w:p>
    <w:p w:rsidR="001C66B0" w:rsidRDefault="00D005FC">
      <w:pPr>
        <w:pStyle w:val="a6"/>
        <w:numPr>
          <w:ilvl w:val="0"/>
          <w:numId w:val="17"/>
        </w:numPr>
        <w:tabs>
          <w:tab w:val="left" w:pos="142"/>
        </w:tabs>
        <w:spacing w:line="360" w:lineRule="auto"/>
        <w:ind w:left="851" w:rightChars="-34" w:right="-71" w:hanging="284"/>
      </w:pPr>
      <w:r>
        <w:rPr>
          <w:rFonts w:hint="eastAsia"/>
        </w:rPr>
        <w:t>接到理赔报案后及时查勘界定保险责任，组织实施理赔工作，保障受益人的合法利益；</w:t>
      </w:r>
    </w:p>
    <w:p w:rsidR="001C66B0" w:rsidRDefault="00D005FC">
      <w:pPr>
        <w:pStyle w:val="a6"/>
        <w:numPr>
          <w:ilvl w:val="0"/>
          <w:numId w:val="17"/>
        </w:numPr>
        <w:tabs>
          <w:tab w:val="left" w:pos="142"/>
        </w:tabs>
        <w:spacing w:line="360" w:lineRule="auto"/>
        <w:ind w:left="851" w:rightChars="-34" w:right="-71" w:hanging="284"/>
      </w:pPr>
      <w:r>
        <w:rPr>
          <w:rFonts w:hint="eastAsia"/>
        </w:rPr>
        <w:t>聘请服务优良的第三方房屋维修机构，严格管理和定期考核，保障理赔服务质量；</w:t>
      </w:r>
    </w:p>
    <w:p w:rsidR="001C66B0" w:rsidRDefault="00D005FC">
      <w:pPr>
        <w:pStyle w:val="a6"/>
        <w:numPr>
          <w:ilvl w:val="0"/>
          <w:numId w:val="17"/>
        </w:numPr>
        <w:tabs>
          <w:tab w:val="left" w:pos="142"/>
        </w:tabs>
        <w:spacing w:line="360" w:lineRule="auto"/>
        <w:ind w:left="851" w:rightChars="-34" w:right="-71" w:hanging="284"/>
      </w:pPr>
      <w:r>
        <w:rPr>
          <w:rFonts w:hint="eastAsia"/>
        </w:rPr>
        <w:t>建立和完善理赔服务流程、应急处置和快速响应机制，提高理赔时效；</w:t>
      </w:r>
    </w:p>
    <w:p w:rsidR="001C66B0" w:rsidRDefault="00D005FC">
      <w:pPr>
        <w:pStyle w:val="a6"/>
        <w:numPr>
          <w:ilvl w:val="0"/>
          <w:numId w:val="17"/>
        </w:numPr>
        <w:tabs>
          <w:tab w:val="left" w:pos="142"/>
        </w:tabs>
        <w:spacing w:line="360" w:lineRule="auto"/>
        <w:ind w:left="851" w:rightChars="-34" w:right="-71" w:hanging="284"/>
        <w:rPr>
          <w:rFonts w:ascii="宋体" w:eastAsia="宋体" w:hAnsi="宋体" w:cs="仿宋_GB2312"/>
          <w:szCs w:val="32"/>
        </w:rPr>
      </w:pPr>
      <w:r>
        <w:rPr>
          <w:rFonts w:hint="eastAsia"/>
        </w:rPr>
        <w:t>配合建设行</w:t>
      </w:r>
      <w:r>
        <w:rPr>
          <w:rFonts w:ascii="宋体" w:eastAsia="宋体" w:hAnsi="宋体" w:cs="仿宋_GB2312" w:hint="eastAsia"/>
          <w:szCs w:val="32"/>
        </w:rPr>
        <w:t>政主管部门，进行相关应急协调处置工作。</w:t>
      </w:r>
    </w:p>
    <w:p w:rsidR="001C66B0" w:rsidRDefault="00D005FC">
      <w:pPr>
        <w:pStyle w:val="3"/>
        <w:rPr>
          <w:bCs/>
        </w:rPr>
      </w:pPr>
      <w:r>
        <w:rPr>
          <w:rFonts w:hint="eastAsia"/>
        </w:rPr>
        <w:t>保险公司应为建筑工程质量安全综合保险业务配备专业化理赔服务团队，</w:t>
      </w:r>
      <w:r>
        <w:rPr>
          <w:rFonts w:hint="eastAsia"/>
          <w:bCs/>
        </w:rPr>
        <w:t>配备一定数量具备相应工程技术专业背景，熟悉房屋建筑类定损和专业维修的专职理赔人员。</w:t>
      </w:r>
    </w:p>
    <w:p w:rsidR="001C66B0" w:rsidRDefault="00D005FC">
      <w:pPr>
        <w:pStyle w:val="3"/>
        <w:tabs>
          <w:tab w:val="left" w:pos="142"/>
        </w:tabs>
      </w:pPr>
      <w:r>
        <w:rPr>
          <w:rFonts w:hint="eastAsia"/>
        </w:rPr>
        <w:t>保险公司应编制《建筑工程质量安全综合保险告知书》（参考模板见附录A），内容包括保单号、保险标的（名称和地址等）、保单出单机构、保险条款下载地址、保险范围、保险责任、除外责任、保险期限、保险责任开始时间及理赔流程、理赔服务电话、索赔指引、注意事项、业主变更通知义务等，在投保项目房屋交付前，提供给建设单位。</w:t>
      </w:r>
    </w:p>
    <w:p w:rsidR="001C66B0" w:rsidRDefault="00D005FC">
      <w:pPr>
        <w:pStyle w:val="3"/>
      </w:pPr>
      <w:r>
        <w:rPr>
          <w:rFonts w:hint="eastAsia"/>
        </w:rPr>
        <w:t>建筑工程质量安全综合保险的理赔，保险公司可采用以下方式：</w:t>
      </w:r>
    </w:p>
    <w:p w:rsidR="001C66B0" w:rsidRDefault="00D005FC">
      <w:pPr>
        <w:pStyle w:val="a6"/>
        <w:numPr>
          <w:ilvl w:val="0"/>
          <w:numId w:val="18"/>
        </w:numPr>
        <w:tabs>
          <w:tab w:val="left" w:pos="142"/>
        </w:tabs>
        <w:spacing w:line="360" w:lineRule="auto"/>
        <w:ind w:left="142" w:rightChars="-34" w:right="-71" w:firstLine="425"/>
      </w:pPr>
      <w:r>
        <w:rPr>
          <w:rFonts w:hint="eastAsia"/>
        </w:rPr>
        <w:t>投保项目竣工验收合格前发生保险责任范围内的生产安全事故或施工意外事故</w:t>
      </w:r>
      <w:r>
        <w:rPr>
          <w:rStyle w:val="af4"/>
          <w:rFonts w:ascii="Calibri" w:eastAsia="宋体" w:hAnsi="Calibri" w:cs="宋体" w:hint="eastAsia"/>
        </w:rPr>
        <w:t>，</w:t>
      </w:r>
      <w:r>
        <w:rPr>
          <w:rFonts w:hint="eastAsia"/>
        </w:rPr>
        <w:t>进行保险金赔偿；</w:t>
      </w:r>
    </w:p>
    <w:p w:rsidR="001C66B0" w:rsidRDefault="00D005FC">
      <w:pPr>
        <w:pStyle w:val="a6"/>
        <w:numPr>
          <w:ilvl w:val="0"/>
          <w:numId w:val="18"/>
        </w:numPr>
        <w:tabs>
          <w:tab w:val="left" w:pos="142"/>
        </w:tabs>
        <w:spacing w:line="360" w:lineRule="auto"/>
        <w:ind w:left="142" w:rightChars="-34" w:right="-71" w:firstLine="425"/>
      </w:pPr>
      <w:r>
        <w:rPr>
          <w:rFonts w:hint="eastAsia"/>
        </w:rPr>
        <w:t>竣工验收合格后发生的保险责任范围内工程质量事故，理赔服务以侧重修复、实际解决索赔人住宅质量问题为原则。</w:t>
      </w:r>
      <w:r>
        <w:rPr>
          <w:rFonts w:hint="eastAsia"/>
        </w:rPr>
        <w:t xml:space="preserve"> </w:t>
      </w:r>
    </w:p>
    <w:p w:rsidR="001C66B0" w:rsidRDefault="00D005FC">
      <w:pPr>
        <w:pStyle w:val="3"/>
        <w:tabs>
          <w:tab w:val="left" w:pos="142"/>
        </w:tabs>
      </w:pPr>
      <w:r>
        <w:rPr>
          <w:rFonts w:hint="eastAsia"/>
        </w:rPr>
        <w:t>保险公司应建立完善的理赔流程，理赔流程应包括理赔报案、现场查勘、保险定责、损失核定、维修、索赔资料收集和赔款支付七个步骤。</w:t>
      </w:r>
    </w:p>
    <w:p w:rsidR="001C66B0" w:rsidRDefault="00D005FC">
      <w:pPr>
        <w:pStyle w:val="3"/>
        <w:rPr>
          <w:bCs/>
        </w:rPr>
      </w:pPr>
      <w:r>
        <w:rPr>
          <w:rFonts w:hint="eastAsia"/>
          <w:bCs/>
        </w:rPr>
        <w:t>保险公司应</w:t>
      </w:r>
      <w:r>
        <w:rPr>
          <w:bCs/>
        </w:rPr>
        <w:t>提供7</w:t>
      </w:r>
      <w:r>
        <w:rPr>
          <w:rFonts w:hint="eastAsia"/>
          <w:bCs/>
        </w:rPr>
        <w:t>×</w:t>
      </w:r>
      <w:r>
        <w:rPr>
          <w:bCs/>
        </w:rPr>
        <w:t>24小时</w:t>
      </w:r>
      <w:r>
        <w:rPr>
          <w:rFonts w:hint="eastAsia"/>
          <w:bCs/>
        </w:rPr>
        <w:t>理赔接报案服务电话，并根据理赔案件的紧迫性、重大程度、维修复杂程度建立理赔案件分级处理机制，保障理赔时效。</w:t>
      </w:r>
    </w:p>
    <w:p w:rsidR="001C66B0" w:rsidRDefault="00D005FC">
      <w:pPr>
        <w:pStyle w:val="3"/>
      </w:pPr>
      <w:r>
        <w:rPr>
          <w:rFonts w:hint="eastAsia"/>
        </w:rPr>
        <w:t>保险公司应一次性告知索赔人所需的</w:t>
      </w:r>
      <w:r>
        <w:t>索赔材料清单</w:t>
      </w:r>
      <w:r>
        <w:rPr>
          <w:rFonts w:hint="eastAsia"/>
        </w:rPr>
        <w:t>，若索赔人提交索赔资料不完整的，保险公司应在</w:t>
      </w:r>
      <w:r>
        <w:t>3</w:t>
      </w:r>
      <w:r>
        <w:rPr>
          <w:rFonts w:hint="eastAsia"/>
        </w:rPr>
        <w:t>个工作日内通知索赔人补充有关材料。</w:t>
      </w:r>
    </w:p>
    <w:p w:rsidR="001C66B0" w:rsidRDefault="00D005FC">
      <w:pPr>
        <w:pStyle w:val="3"/>
      </w:pPr>
      <w:r>
        <w:rPr>
          <w:rFonts w:hint="eastAsia"/>
        </w:rPr>
        <w:t>建筑工程质量安全综合保险理赔责任的认定，应根据不同情况分别按以下方法进行：</w:t>
      </w:r>
    </w:p>
    <w:p w:rsidR="001C66B0" w:rsidRDefault="00D005FC">
      <w:pPr>
        <w:pStyle w:val="a6"/>
        <w:numPr>
          <w:ilvl w:val="0"/>
          <w:numId w:val="19"/>
        </w:numPr>
        <w:tabs>
          <w:tab w:val="left" w:pos="142"/>
        </w:tabs>
        <w:spacing w:line="360" w:lineRule="auto"/>
        <w:ind w:left="142" w:rightChars="-34" w:right="-71" w:firstLine="425"/>
        <w:rPr>
          <w:rFonts w:asciiTheme="minorEastAsia" w:hAnsiTheme="minorEastAsia"/>
        </w:rPr>
      </w:pPr>
      <w:r>
        <w:rPr>
          <w:rFonts w:asciiTheme="minorEastAsia" w:hAnsiTheme="minorEastAsia" w:hint="eastAsia"/>
          <w:szCs w:val="24"/>
        </w:rPr>
        <w:t>保险</w:t>
      </w:r>
      <w:r>
        <w:rPr>
          <w:rFonts w:hint="eastAsia"/>
        </w:rPr>
        <w:t>公司确认</w:t>
      </w:r>
      <w:r>
        <w:rPr>
          <w:rFonts w:asciiTheme="minorEastAsia" w:hAnsiTheme="minorEastAsia" w:hint="eastAsia"/>
        </w:rPr>
        <w:t>索赔事项属于保险责任范围内的，在收到索赔人索赔申请后7日内作出核定；情形复杂的，应在3</w:t>
      </w:r>
      <w:r>
        <w:rPr>
          <w:rFonts w:asciiTheme="minorEastAsia" w:hAnsiTheme="minorEastAsia"/>
        </w:rPr>
        <w:t>0</w:t>
      </w:r>
      <w:r>
        <w:rPr>
          <w:rFonts w:asciiTheme="minorEastAsia" w:hAnsiTheme="minorEastAsia" w:hint="eastAsia"/>
        </w:rPr>
        <w:t>日内作出核定，并将核定结果通知索赔人；情形特别复杂的，由于非保险公司可以控制的原因导致核定困难的，与被保险人商议合理核定期间，并在商定的期间内作出核定。</w:t>
      </w:r>
    </w:p>
    <w:p w:rsidR="001C66B0" w:rsidRDefault="00D005FC">
      <w:pPr>
        <w:pStyle w:val="a6"/>
        <w:numPr>
          <w:ilvl w:val="0"/>
          <w:numId w:val="19"/>
        </w:numPr>
        <w:tabs>
          <w:tab w:val="left" w:pos="142"/>
        </w:tabs>
        <w:spacing w:line="360" w:lineRule="auto"/>
        <w:ind w:left="142" w:rightChars="-34" w:right="-71" w:firstLine="425"/>
        <w:rPr>
          <w:rFonts w:asciiTheme="minorEastAsia" w:hAnsiTheme="minorEastAsia"/>
          <w:szCs w:val="24"/>
        </w:rPr>
      </w:pPr>
      <w:r>
        <w:rPr>
          <w:rFonts w:asciiTheme="minorEastAsia" w:hAnsiTheme="minorEastAsia" w:hint="eastAsia"/>
        </w:rPr>
        <w:t>对不</w:t>
      </w:r>
      <w:r>
        <w:rPr>
          <w:rFonts w:asciiTheme="minorEastAsia" w:hAnsiTheme="minorEastAsia" w:hint="eastAsia"/>
          <w:szCs w:val="24"/>
        </w:rPr>
        <w:t>属于保险责任的，保险公司自作出核定之日起3日内向索赔人发出不予赔偿通知书，并说明不予赔偿的理由。</w:t>
      </w:r>
    </w:p>
    <w:p w:rsidR="001C66B0" w:rsidRDefault="00D005FC">
      <w:pPr>
        <w:pStyle w:val="3"/>
      </w:pPr>
      <w:r>
        <w:rPr>
          <w:rFonts w:hint="eastAsia"/>
        </w:rPr>
        <w:t>保险事故发生后，事先经保险公司书面同意，被保险人为防止或减少保险标的的损失所支付的必要的、合理的费用，保险公司也应赔偿。</w:t>
      </w:r>
    </w:p>
    <w:p w:rsidR="001C66B0" w:rsidRDefault="00D005FC">
      <w:pPr>
        <w:pStyle w:val="3"/>
      </w:pPr>
      <w:r>
        <w:rPr>
          <w:rFonts w:hint="eastAsia"/>
        </w:rPr>
        <w:lastRenderedPageBreak/>
        <w:t>保险公司应制定快赔规则，并建立线上赔服务平台，对于损失标的单一、案情简单的案件，实现线上交单、线上查勘、线上赔款确认、赔款支付等服务功能。发生集体性保险事故时，保险公司宜开通绿色通道，优先理赔</w:t>
      </w:r>
      <w:r>
        <w:t>。</w:t>
      </w:r>
    </w:p>
    <w:p w:rsidR="001C66B0" w:rsidRDefault="00D005FC">
      <w:pPr>
        <w:pStyle w:val="3"/>
      </w:pPr>
      <w:r>
        <w:rPr>
          <w:rFonts w:hint="eastAsia"/>
        </w:rPr>
        <w:t xml:space="preserve"> 竣工验收合格后发生的保险责任范围内工程质量事故，由专业房屋维修机构提供维修服务的，经保险公司、索赔人、维修单位达成一致意见并完成全部维修项目后，经保险公司、索赔人验收合格，签订赔付协议并在7个工作日内支付赔款；由索赔人自行维修的，保险公司应在双方达成协议后5个工作日内完成支付。</w:t>
      </w:r>
    </w:p>
    <w:p w:rsidR="001C66B0" w:rsidRDefault="00D005FC">
      <w:pPr>
        <w:pStyle w:val="3"/>
      </w:pPr>
      <w:r>
        <w:rPr>
          <w:rFonts w:hint="eastAsia"/>
        </w:rPr>
        <w:t xml:space="preserve"> 保险公司应建立应急抢修机制。对于影响使用人基本生活、需要紧急抢修且属于保险责任范围内的理赔申请，保险公司在征得房屋所有权人同意后，应先行组织第三方房屋维修机构与保险公司（或双方共同委托的查勘机构）到达现场进行快速拍照后抢修，避免损失扩大，事后再启动正常理赔程序。</w:t>
      </w:r>
    </w:p>
    <w:p w:rsidR="001C66B0" w:rsidRDefault="00D005FC">
      <w:pPr>
        <w:pStyle w:val="3"/>
      </w:pPr>
      <w:r>
        <w:rPr>
          <w:rFonts w:hint="eastAsia"/>
        </w:rPr>
        <w:t>保险公司应针对重大突发事件</w:t>
      </w:r>
      <w:bookmarkStart w:id="27" w:name="_Hlk101721061"/>
      <w:r>
        <w:rPr>
          <w:rFonts w:hint="eastAsia"/>
        </w:rPr>
        <w:t>、群体性事件制定应急预案</w:t>
      </w:r>
      <w:bookmarkEnd w:id="27"/>
      <w:r>
        <w:rPr>
          <w:rFonts w:hint="eastAsia"/>
        </w:rPr>
        <w:t>，设立分级应急响应</w:t>
      </w:r>
      <w:r>
        <w:t>机制</w:t>
      </w:r>
      <w:r>
        <w:rPr>
          <w:rFonts w:hint="eastAsia"/>
        </w:rPr>
        <w:t>，积极协助政府主管部门的抢险救灾和事故处理等相关工作。</w:t>
      </w:r>
    </w:p>
    <w:p w:rsidR="001C66B0" w:rsidRDefault="00D005FC">
      <w:pPr>
        <w:pStyle w:val="3"/>
        <w:rPr>
          <w:bCs/>
        </w:rPr>
      </w:pPr>
      <w:r>
        <w:rPr>
          <w:rFonts w:hint="eastAsia"/>
        </w:rPr>
        <w:t>针对房屋质量问题认定结果是否属于保险责任范围有争议的，或对维修结果是否符合要求存在争议的，</w:t>
      </w:r>
      <w:r>
        <w:t>保险公司应积极组织各方沟通协商解决，仍无法达成一致的，可通过委托双方共同认可且具有资质的第三方鉴定机构进行鉴定。</w:t>
      </w:r>
      <w:r>
        <w:rPr>
          <w:rFonts w:hint="eastAsia"/>
        </w:rPr>
        <w:t>鉴定结果属于保险责任或维修结果不符合要求的，鉴定费用由保险公司承担；鉴定结果不属于保险责任或维修结果符合要求的，鉴定费用由建设单位或业主承担。对赔偿金额存在争议的，索赔人可与保险公司共同委托具有相应司法鉴定资格的第三方损失评估机构或保险公估机构进行评估。</w:t>
      </w:r>
    </w:p>
    <w:p w:rsidR="001C66B0" w:rsidRDefault="00D005FC">
      <w:pPr>
        <w:pStyle w:val="3"/>
      </w:pPr>
      <w:r>
        <w:rPr>
          <w:rFonts w:hint="eastAsia"/>
        </w:rPr>
        <w:t xml:space="preserve"> 保险公司在先行赔付后，有权依法向质量缺陷的责任单位行使代位求偿权，被保险人与相关责任方应予以配合，向保险公司提供必要的文件和所知道的有关情况。因法律法规或合同约定应由设计单位、施工单位、设备材料供应商等责任方承担的法律责任，并不因建设单位投保建筑工程质量安全综合保险免责。</w:t>
      </w:r>
    </w:p>
    <w:p w:rsidR="001C66B0" w:rsidRDefault="00D005FC">
      <w:pPr>
        <w:pStyle w:val="3"/>
      </w:pPr>
      <w:r>
        <w:rPr>
          <w:rFonts w:hint="eastAsia"/>
        </w:rPr>
        <w:t xml:space="preserve"> 保险公司可委托独立第三方保险公估公司，进行出险后的查勘、检验、估损及理算、代位追偿、残值处理等服务。</w:t>
      </w:r>
    </w:p>
    <w:p w:rsidR="001C66B0" w:rsidRDefault="00D005FC">
      <w:pPr>
        <w:tabs>
          <w:tab w:val="left" w:pos="142"/>
        </w:tabs>
        <w:spacing w:line="360" w:lineRule="auto"/>
        <w:ind w:rightChars="-34" w:right="-71"/>
        <w:jc w:val="left"/>
        <w:rPr>
          <w:rFonts w:asciiTheme="minorEastAsia" w:hAnsiTheme="minorEastAsia" w:cstheme="minorEastAsia"/>
          <w:bCs/>
        </w:rPr>
      </w:pPr>
      <w:r>
        <w:rPr>
          <w:rFonts w:asciiTheme="minorEastAsia" w:hAnsiTheme="minorEastAsia" w:cstheme="minorEastAsia"/>
          <w:bCs/>
        </w:rPr>
        <w:br w:type="page"/>
      </w:r>
    </w:p>
    <w:p w:rsidR="001C66B0" w:rsidRDefault="00D005FC">
      <w:pPr>
        <w:pStyle w:val="1"/>
      </w:pPr>
      <w:bookmarkStart w:id="28" w:name="_Toc176713652"/>
      <w:r>
        <w:rPr>
          <w:rFonts w:hint="eastAsia"/>
        </w:rPr>
        <w:lastRenderedPageBreak/>
        <w:t>风险管理机构及服务人员管理要求</w:t>
      </w:r>
      <w:bookmarkEnd w:id="28"/>
    </w:p>
    <w:p w:rsidR="001C66B0" w:rsidRDefault="00D005FC">
      <w:pPr>
        <w:pStyle w:val="2"/>
        <w:spacing w:before="120"/>
      </w:pPr>
      <w:bookmarkStart w:id="29" w:name="_Toc176713653"/>
      <w:r>
        <w:rPr>
          <w:rFonts w:hint="eastAsia"/>
        </w:rPr>
        <w:t>风险管理机构资格及管理要求</w:t>
      </w:r>
      <w:bookmarkEnd w:id="29"/>
    </w:p>
    <w:p w:rsidR="001C66B0" w:rsidRDefault="00D005FC">
      <w:pPr>
        <w:pStyle w:val="3"/>
        <w:rPr>
          <w:b/>
        </w:rPr>
      </w:pPr>
      <w:r>
        <w:rPr>
          <w:rFonts w:hint="eastAsia"/>
        </w:rPr>
        <w:t>风险管理机构应为具有民事权利能力和民事行为能力、依法独立享有民事权力和承担民事义务的法人，应符合下列条件之一：</w:t>
      </w:r>
    </w:p>
    <w:p w:rsidR="001C66B0" w:rsidRDefault="00D005FC">
      <w:pPr>
        <w:pStyle w:val="a6"/>
        <w:numPr>
          <w:ilvl w:val="0"/>
          <w:numId w:val="20"/>
        </w:numPr>
        <w:tabs>
          <w:tab w:val="left" w:pos="142"/>
        </w:tabs>
        <w:spacing w:line="360" w:lineRule="auto"/>
        <w:ind w:left="851" w:rightChars="-34" w:right="-71" w:hanging="284"/>
        <w:rPr>
          <w:rFonts w:ascii="宋体" w:eastAsia="宋体" w:hAnsi="宋体" w:cs="仿宋_GB2312"/>
          <w:szCs w:val="32"/>
        </w:rPr>
      </w:pPr>
      <w:r>
        <w:rPr>
          <w:rFonts w:asciiTheme="minorEastAsia" w:hAnsiTheme="minorEastAsia" w:cstheme="minorEastAsia" w:hint="eastAsia"/>
          <w:bCs/>
        </w:rPr>
        <w:t>具有5</w:t>
      </w:r>
      <w:r>
        <w:rPr>
          <w:rFonts w:ascii="宋体" w:eastAsia="宋体" w:hAnsi="宋体" w:cs="仿宋_GB2312" w:hint="eastAsia"/>
          <w:szCs w:val="32"/>
        </w:rPr>
        <w:t>年以上受保险公司委托开展建筑工程风险管理经验，且在国内3个以上城市开展建筑工程质量潜在缺陷保险管理经验的风险管理机构；</w:t>
      </w:r>
    </w:p>
    <w:p w:rsidR="001C66B0" w:rsidRDefault="00D005FC">
      <w:pPr>
        <w:pStyle w:val="a6"/>
        <w:numPr>
          <w:ilvl w:val="0"/>
          <w:numId w:val="20"/>
        </w:numPr>
        <w:tabs>
          <w:tab w:val="left" w:pos="142"/>
        </w:tabs>
        <w:spacing w:line="360" w:lineRule="auto"/>
        <w:ind w:left="851" w:rightChars="-34" w:right="-71" w:hanging="284"/>
        <w:rPr>
          <w:rFonts w:asciiTheme="minorEastAsia" w:hAnsiTheme="minorEastAsia" w:cstheme="minorEastAsia"/>
          <w:bCs/>
        </w:rPr>
      </w:pPr>
      <w:r>
        <w:rPr>
          <w:rFonts w:ascii="宋体" w:eastAsia="宋体" w:hAnsi="宋体" w:cs="仿宋_GB2312" w:hint="eastAsia"/>
          <w:szCs w:val="32"/>
        </w:rPr>
        <w:t>具有建筑工程管理经验，具备工程监理综合资质、房屋建筑工程监理甲级资质或勘察设计甲级资</w:t>
      </w:r>
      <w:r>
        <w:rPr>
          <w:rFonts w:asciiTheme="minorEastAsia" w:hAnsiTheme="minorEastAsia" w:cstheme="minorEastAsia" w:hint="eastAsia"/>
          <w:bCs/>
        </w:rPr>
        <w:t>质的建筑工程管理机构。</w:t>
      </w:r>
    </w:p>
    <w:p w:rsidR="001C66B0" w:rsidRDefault="00D005FC">
      <w:pPr>
        <w:pStyle w:val="3"/>
      </w:pPr>
      <w:r>
        <w:rPr>
          <w:rFonts w:hint="eastAsia"/>
        </w:rPr>
        <w:t>风险管理机构应满足以下管理要求：</w:t>
      </w:r>
    </w:p>
    <w:p w:rsidR="001C66B0" w:rsidRDefault="00D005FC">
      <w:pPr>
        <w:pStyle w:val="a6"/>
        <w:numPr>
          <w:ilvl w:val="0"/>
          <w:numId w:val="21"/>
        </w:numPr>
        <w:tabs>
          <w:tab w:val="left" w:pos="142"/>
        </w:tabs>
        <w:spacing w:line="360" w:lineRule="auto"/>
        <w:ind w:left="851" w:rightChars="-34" w:right="-71" w:hanging="284"/>
        <w:rPr>
          <w:rFonts w:ascii="宋体" w:eastAsia="宋体" w:hAnsi="宋体" w:cs="仿宋_GB2312"/>
          <w:szCs w:val="32"/>
        </w:rPr>
      </w:pPr>
      <w:bookmarkStart w:id="30" w:name="_Hlk99626384"/>
      <w:r>
        <w:rPr>
          <w:rFonts w:asciiTheme="minorEastAsia" w:hAnsiTheme="minorEastAsia" w:cstheme="minorEastAsia" w:hint="eastAsia"/>
          <w:bCs/>
        </w:rPr>
        <w:t>注册</w:t>
      </w:r>
      <w:r>
        <w:rPr>
          <w:rFonts w:ascii="宋体" w:eastAsia="宋体" w:hAnsi="宋体" w:cs="仿宋_GB2312" w:hint="eastAsia"/>
          <w:szCs w:val="32"/>
        </w:rPr>
        <w:t>资本金1000万元及以上；</w:t>
      </w:r>
    </w:p>
    <w:p w:rsidR="001C66B0" w:rsidRDefault="00D005FC">
      <w:pPr>
        <w:pStyle w:val="a6"/>
        <w:numPr>
          <w:ilvl w:val="0"/>
          <w:numId w:val="21"/>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在所服务城市注册登记或设立分支机构；</w:t>
      </w:r>
    </w:p>
    <w:p w:rsidR="001C66B0" w:rsidRDefault="00D005FC">
      <w:pPr>
        <w:pStyle w:val="a6"/>
        <w:numPr>
          <w:ilvl w:val="0"/>
          <w:numId w:val="21"/>
        </w:numPr>
        <w:tabs>
          <w:tab w:val="left" w:pos="142"/>
        </w:tabs>
        <w:spacing w:line="360" w:lineRule="auto"/>
        <w:ind w:left="851" w:rightChars="-34" w:right="-71" w:hanging="284"/>
        <w:rPr>
          <w:rFonts w:asciiTheme="minorEastAsia" w:hAnsiTheme="minorEastAsia" w:cstheme="minorEastAsia"/>
          <w:bCs/>
        </w:rPr>
      </w:pPr>
      <w:r>
        <w:rPr>
          <w:rFonts w:ascii="宋体" w:eastAsia="宋体" w:hAnsi="宋体" w:cs="仿宋_GB2312" w:hint="eastAsia"/>
          <w:szCs w:val="32"/>
        </w:rPr>
        <w:t>具备独立性，与已投保项目的参建单位（包括其集团公司及下级公司）</w:t>
      </w:r>
      <w:bookmarkStart w:id="31" w:name="_Hlk101337507"/>
      <w:r>
        <w:rPr>
          <w:rFonts w:ascii="宋体" w:eastAsia="宋体" w:hAnsi="宋体" w:cs="仿宋_GB2312" w:hint="eastAsia"/>
          <w:szCs w:val="32"/>
        </w:rPr>
        <w:t>不存在关</w:t>
      </w:r>
      <w:r>
        <w:rPr>
          <w:rFonts w:asciiTheme="minorEastAsia" w:hAnsiTheme="minorEastAsia" w:cstheme="minorEastAsia" w:hint="eastAsia"/>
          <w:bCs/>
        </w:rPr>
        <w:t>联或利益关系</w:t>
      </w:r>
      <w:bookmarkEnd w:id="31"/>
      <w:r>
        <w:rPr>
          <w:rFonts w:asciiTheme="minorEastAsia" w:hAnsiTheme="minorEastAsia" w:cstheme="minorEastAsia" w:hint="eastAsia"/>
          <w:bCs/>
        </w:rPr>
        <w:t>及其他可能影响公正性的情况，未直接或间接参与投保项目的勘察、设计、施工、监理、材料供应、检测等服务；</w:t>
      </w:r>
    </w:p>
    <w:p w:rsidR="001C66B0" w:rsidRDefault="00D005FC">
      <w:pPr>
        <w:pStyle w:val="a6"/>
        <w:numPr>
          <w:ilvl w:val="0"/>
          <w:numId w:val="21"/>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szCs w:val="32"/>
        </w:rPr>
        <w:t>建立健全</w:t>
      </w:r>
      <w:r>
        <w:rPr>
          <w:rFonts w:ascii="宋体" w:eastAsia="宋体" w:hAnsi="宋体" w:cs="仿宋_GB2312" w:hint="eastAsia"/>
          <w:szCs w:val="32"/>
        </w:rPr>
        <w:t>的</w:t>
      </w:r>
      <w:r>
        <w:rPr>
          <w:rFonts w:ascii="宋体" w:eastAsia="宋体" w:hAnsi="宋体" w:cs="仿宋_GB2312"/>
          <w:szCs w:val="32"/>
        </w:rPr>
        <w:t>组织体系，配备专业齐全的</w:t>
      </w:r>
      <w:r>
        <w:rPr>
          <w:rFonts w:ascii="宋体" w:eastAsia="宋体" w:hAnsi="宋体" w:cs="仿宋_GB2312" w:hint="eastAsia"/>
          <w:szCs w:val="32"/>
        </w:rPr>
        <w:t>质量、安全</w:t>
      </w:r>
      <w:r>
        <w:rPr>
          <w:rFonts w:ascii="宋体" w:eastAsia="宋体" w:hAnsi="宋体" w:cs="仿宋_GB2312"/>
          <w:szCs w:val="32"/>
        </w:rPr>
        <w:t>专业技术人员</w:t>
      </w:r>
      <w:r>
        <w:rPr>
          <w:rFonts w:ascii="宋体" w:eastAsia="宋体" w:hAnsi="宋体" w:cs="仿宋_GB2312" w:hint="eastAsia"/>
          <w:szCs w:val="32"/>
        </w:rPr>
        <w:t>，人员</w:t>
      </w:r>
      <w:r>
        <w:rPr>
          <w:rFonts w:ascii="宋体" w:eastAsia="宋体" w:hAnsi="宋体" w:cs="仿宋_GB2312"/>
          <w:szCs w:val="32"/>
        </w:rPr>
        <w:t>岗位</w:t>
      </w:r>
      <w:r>
        <w:rPr>
          <w:rFonts w:ascii="宋体" w:eastAsia="宋体" w:hAnsi="宋体" w:cs="仿宋_GB2312" w:hint="eastAsia"/>
          <w:szCs w:val="32"/>
        </w:rPr>
        <w:t>健全、</w:t>
      </w:r>
      <w:r>
        <w:rPr>
          <w:rFonts w:ascii="宋体" w:eastAsia="宋体" w:hAnsi="宋体" w:cs="仿宋_GB2312"/>
          <w:szCs w:val="32"/>
        </w:rPr>
        <w:t>职责</w:t>
      </w:r>
      <w:r>
        <w:rPr>
          <w:rFonts w:ascii="宋体" w:eastAsia="宋体" w:hAnsi="宋体" w:cs="仿宋_GB2312" w:hint="eastAsia"/>
          <w:szCs w:val="32"/>
        </w:rPr>
        <w:t>明确；</w:t>
      </w:r>
    </w:p>
    <w:bookmarkEnd w:id="30"/>
    <w:p w:rsidR="001C66B0" w:rsidRDefault="00D005FC">
      <w:pPr>
        <w:pStyle w:val="a6"/>
        <w:numPr>
          <w:ilvl w:val="0"/>
          <w:numId w:val="21"/>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具备健全的质量安全保证体系和完善的</w:t>
      </w:r>
      <w:r>
        <w:rPr>
          <w:rFonts w:ascii="宋体" w:eastAsia="宋体" w:hAnsi="宋体" w:cs="仿宋_GB2312"/>
          <w:szCs w:val="32"/>
        </w:rPr>
        <w:t>业务流程</w:t>
      </w:r>
      <w:r>
        <w:rPr>
          <w:rFonts w:ascii="宋体" w:eastAsia="宋体" w:hAnsi="宋体" w:cs="仿宋_GB2312" w:hint="eastAsia"/>
          <w:szCs w:val="32"/>
        </w:rPr>
        <w:t>；</w:t>
      </w:r>
    </w:p>
    <w:p w:rsidR="001C66B0" w:rsidRDefault="00D005FC">
      <w:pPr>
        <w:pStyle w:val="a6"/>
        <w:numPr>
          <w:ilvl w:val="0"/>
          <w:numId w:val="21"/>
        </w:numPr>
        <w:tabs>
          <w:tab w:val="left" w:pos="142"/>
        </w:tabs>
        <w:spacing w:line="360" w:lineRule="auto"/>
        <w:ind w:left="851" w:rightChars="-34" w:right="-71" w:hanging="284"/>
        <w:rPr>
          <w:rFonts w:ascii="宋体" w:eastAsia="宋体" w:hAnsi="宋体" w:cs="仿宋_GB2312"/>
          <w:szCs w:val="32"/>
        </w:rPr>
      </w:pPr>
      <w:r>
        <w:rPr>
          <w:rFonts w:ascii="宋体" w:eastAsia="宋体" w:hAnsi="宋体" w:cs="仿宋_GB2312" w:hint="eastAsia"/>
          <w:szCs w:val="32"/>
        </w:rPr>
        <w:t>配备满足风险管理需要的检测设备和器具。</w:t>
      </w:r>
    </w:p>
    <w:p w:rsidR="001C66B0" w:rsidRDefault="00D005FC">
      <w:pPr>
        <w:pStyle w:val="3"/>
      </w:pPr>
      <w:r>
        <w:rPr>
          <w:rFonts w:hint="eastAsia"/>
        </w:rPr>
        <w:t>风险管理机构应依据现行法律法规、工程建设标准及与保险公司签订的风险管理服务合同，公平公正、廉洁自律、诚实守信、严谨科学地开展风险管理服务，保证风险评估结果公正、真实、可靠，并及时将投保项目的质量安全风险情况报告保险公司，督促参建各方及时进行整改。</w:t>
      </w:r>
    </w:p>
    <w:p w:rsidR="001C66B0" w:rsidRDefault="00D005FC">
      <w:pPr>
        <w:pStyle w:val="3"/>
      </w:pPr>
      <w:r>
        <w:rPr>
          <w:rFonts w:hint="eastAsia"/>
        </w:rPr>
        <w:t>风险管理机构应遵守保密义务，不以任何形式向未授权的第三方透露各方的商业信息。</w:t>
      </w:r>
    </w:p>
    <w:p w:rsidR="001C66B0" w:rsidRDefault="00D005FC">
      <w:pPr>
        <w:pStyle w:val="3"/>
      </w:pPr>
      <w:r>
        <w:rPr>
          <w:rFonts w:hint="eastAsia"/>
        </w:rPr>
        <w:t>风险管理机构开展风险管理服务应接受建设行政主管部门的指导，发现重大风险及时上报。</w:t>
      </w:r>
    </w:p>
    <w:p w:rsidR="001C66B0" w:rsidRDefault="00D005FC">
      <w:pPr>
        <w:pStyle w:val="2"/>
        <w:spacing w:before="120"/>
      </w:pPr>
      <w:bookmarkStart w:id="32" w:name="_Toc176713654"/>
      <w:r>
        <w:rPr>
          <w:rFonts w:hint="eastAsia"/>
        </w:rPr>
        <w:t>风险管理服务人员要求</w:t>
      </w:r>
      <w:bookmarkEnd w:id="32"/>
    </w:p>
    <w:p w:rsidR="001C66B0" w:rsidRDefault="00D005FC">
      <w:pPr>
        <w:pStyle w:val="3"/>
      </w:pPr>
      <w:r>
        <w:rPr>
          <w:rFonts w:hint="eastAsia"/>
        </w:rPr>
        <w:t>风险管理机构应明确设置服务人员岗位，岗位应包括风险管理总工程师、风险管理项目经理、勘察设计风险管理工程师、施工质量风险管理工程师、施工安全风险管理工程师、回访期质量投诉技术调查工程师等。</w:t>
      </w:r>
    </w:p>
    <w:p w:rsidR="001C66B0" w:rsidRDefault="00D005FC">
      <w:pPr>
        <w:pStyle w:val="3"/>
      </w:pPr>
      <w:r>
        <w:rPr>
          <w:rFonts w:hint="eastAsia"/>
        </w:rPr>
        <w:t>风险管理总工程师（风险管理机构技术负责人）应符合如下资格要求：具有15年及以上建筑工程管理工作经验；具备一级注册建筑师、一级注册结构工程师、一级注册建造师或注册监理工程师执业资格；具备相关专业高级工程师及以上职称。其工作职责应包括：</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总体指导、控制本机构的风险管理技术活动； </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组织制定技术服务管理制度；</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组织风险管理技术人员的专业技术培训；</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监督、考核风险管理工作执行情况； </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lastRenderedPageBreak/>
        <w:t>召集风险管理专家，牵头解决技术难度较大的问题，参与重大风险的调查处理；</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审批投保项目的风险管理服务工作计划； </w:t>
      </w:r>
    </w:p>
    <w:p w:rsidR="001C66B0" w:rsidRDefault="00D005FC">
      <w:pPr>
        <w:pStyle w:val="a6"/>
        <w:numPr>
          <w:ilvl w:val="0"/>
          <w:numId w:val="2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审批投保项目勘察设计、地基基础、主体结构、装饰装修、竣工验收、回访等重要节点的风险评估报告，以及针对专项内容的专项风险评估报告。</w:t>
      </w:r>
    </w:p>
    <w:p w:rsidR="001C66B0" w:rsidRDefault="00D005FC">
      <w:pPr>
        <w:pStyle w:val="3"/>
      </w:pPr>
      <w:r>
        <w:rPr>
          <w:rFonts w:hint="eastAsia"/>
        </w:rPr>
        <w:t>风险管理项目经理（项目负责人）应符合如下资格要求：具有1</w:t>
      </w:r>
      <w:r>
        <w:t>5</w:t>
      </w:r>
      <w:r>
        <w:rPr>
          <w:rFonts w:hint="eastAsia"/>
        </w:rPr>
        <w:t xml:space="preserve"> 年及以上建筑工程管理工作经验；具备一级注册建筑师、一级注册结构工程师、一级注册建造师或注册监理工程师</w:t>
      </w:r>
      <w:r>
        <w:t>执业资格</w:t>
      </w:r>
      <w:r>
        <w:rPr>
          <w:rFonts w:hint="eastAsia"/>
        </w:rPr>
        <w:t>。每个项目负责人同时负责的项目不得超过</w:t>
      </w:r>
      <w:r>
        <w:t>10</w:t>
      </w:r>
      <w:r>
        <w:rPr>
          <w:rFonts w:hint="eastAsia"/>
        </w:rPr>
        <w:t>个。其工作职责应包括：</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组织实施投保项目勘察设计阶段、施工阶段、竣工阶段、回访阶段全过程的风险管理服务工作；</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确定投保项目服务团队人员组成和分工，对团队人员进行监督考核； </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组织项目服务团队编写风险管理服务工作计划，并进行审核；</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配合保险公司组织召开风险管理交底会，进行风险管理工作交底；</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统筹协调对接投保项目，按计划实施各阶段风险管理工作；</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协调投保项目提供设计文件、施工方案、工程资料等检查所需资料；</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带领项目服务团队</w:t>
      </w:r>
      <w:bookmarkStart w:id="33" w:name="_Hlk101304545"/>
      <w:r>
        <w:rPr>
          <w:rFonts w:asciiTheme="minorEastAsia" w:hAnsiTheme="minorEastAsia" w:cstheme="minorEastAsia" w:hint="eastAsia"/>
          <w:bCs/>
        </w:rPr>
        <w:t>实施定期现场风险巡查</w:t>
      </w:r>
      <w:bookmarkEnd w:id="33"/>
      <w:r>
        <w:rPr>
          <w:rFonts w:asciiTheme="minorEastAsia" w:hAnsiTheme="minorEastAsia" w:cstheme="minorEastAsia" w:hint="eastAsia"/>
          <w:bCs/>
        </w:rPr>
        <w:t>；</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审批项目服务团队编写的施工期间、回访期间的过程风险评估报告；</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组织项目服务团队编写勘察设计、</w:t>
      </w:r>
      <w:bookmarkStart w:id="34" w:name="_Hlk105270955"/>
      <w:r>
        <w:rPr>
          <w:rFonts w:asciiTheme="minorEastAsia" w:hAnsiTheme="minorEastAsia" w:cstheme="minorEastAsia" w:hint="eastAsia"/>
          <w:bCs/>
        </w:rPr>
        <w:t>地基基础、主体结构、装饰装修、竣工验收、回访等重要节点的风险评估报告，以及针对专项内容的专项风险评估报告</w:t>
      </w:r>
      <w:bookmarkEnd w:id="34"/>
      <w:r>
        <w:rPr>
          <w:rFonts w:asciiTheme="minorEastAsia" w:hAnsiTheme="minorEastAsia" w:cstheme="minorEastAsia" w:hint="eastAsia"/>
          <w:bCs/>
        </w:rPr>
        <w:t>，并进行审核；</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 全过程组织跟踪落实勘察设计、施工过程检查等发现质量、安全问题的整改情况；</w:t>
      </w:r>
    </w:p>
    <w:p w:rsidR="001C66B0" w:rsidRDefault="00D005FC">
      <w:pPr>
        <w:pStyle w:val="a6"/>
        <w:numPr>
          <w:ilvl w:val="0"/>
          <w:numId w:val="2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 组织实施安全培训等安全事故预防服务。</w:t>
      </w:r>
    </w:p>
    <w:p w:rsidR="001C66B0" w:rsidRDefault="00D005FC">
      <w:pPr>
        <w:pStyle w:val="3"/>
      </w:pPr>
      <w:r>
        <w:rPr>
          <w:rFonts w:hint="eastAsia"/>
        </w:rPr>
        <w:t>勘察设计风险管理工程师（分为</w:t>
      </w:r>
      <w:r>
        <w:rPr>
          <w:rFonts w:hint="eastAsia"/>
          <w:bCs/>
        </w:rPr>
        <w:t>岩土、建筑、结构、给水排水、建筑电气、供暖、通风与空调、造价</w:t>
      </w:r>
      <w:r>
        <w:rPr>
          <w:rFonts w:hint="eastAsia"/>
        </w:rPr>
        <w:t>等审查岗位）应符合如下资格要求：具有10年以上相关专业建筑工程设计经验；具备注册土木工程师（岩土）、一级注册建筑师、一级注册结构工程师、注册公用设备工程师等工程设计类执业资格。其工作职责应包括：</w:t>
      </w:r>
    </w:p>
    <w:p w:rsidR="001C66B0" w:rsidRDefault="00D005FC">
      <w:pPr>
        <w:pStyle w:val="a6"/>
        <w:numPr>
          <w:ilvl w:val="0"/>
          <w:numId w:val="2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投保项目相应专业勘察设计文件的质量、安全风险评估，审查地质勘察报告（岩土专业），进行设计文件的完整性、合理性、准确性及施工方案匹配性等设计质量安全风险评估，审查造价文件的合理性（造价专业）；</w:t>
      </w:r>
    </w:p>
    <w:p w:rsidR="001C66B0" w:rsidRDefault="00D005FC">
      <w:pPr>
        <w:pStyle w:val="a6"/>
        <w:numPr>
          <w:ilvl w:val="0"/>
          <w:numId w:val="2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编写勘察设计质量、安全风险评估报告，编写各专业（岩土、建筑、结构、给排水及供暖、电气、通风与空调等）的专项风险评估报告，提出设计技术风险问题及建议并明确过程质量风险管理控制要点；</w:t>
      </w:r>
    </w:p>
    <w:p w:rsidR="001C66B0" w:rsidRDefault="00D005FC">
      <w:pPr>
        <w:pStyle w:val="a6"/>
        <w:numPr>
          <w:ilvl w:val="0"/>
          <w:numId w:val="2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对接投保项目勘察单位、设计单位，跟踪并记录已发现问题的整改落实情况，督促投保项目及时出具变更文件；</w:t>
      </w:r>
    </w:p>
    <w:p w:rsidR="001C66B0" w:rsidRDefault="00D005FC">
      <w:pPr>
        <w:pStyle w:val="a6"/>
        <w:numPr>
          <w:ilvl w:val="0"/>
          <w:numId w:val="2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审查投保项目施工过程中的设计变更洽商及改进意见，评估可能新产生的风险；</w:t>
      </w:r>
    </w:p>
    <w:p w:rsidR="001C66B0" w:rsidRDefault="00D005FC">
      <w:pPr>
        <w:pStyle w:val="a6"/>
        <w:numPr>
          <w:ilvl w:val="0"/>
          <w:numId w:val="2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编写地基基础、主体结构、装饰装修、竣工验收、回访等重要节点风险评估报告的勘察设计风险评估部分。</w:t>
      </w:r>
    </w:p>
    <w:p w:rsidR="001C66B0" w:rsidRDefault="00D005FC">
      <w:pPr>
        <w:pStyle w:val="3"/>
      </w:pPr>
      <w:bookmarkStart w:id="35" w:name="_Hlk105272158"/>
      <w:r>
        <w:rPr>
          <w:rFonts w:hint="eastAsia"/>
        </w:rPr>
        <w:lastRenderedPageBreak/>
        <w:t>施工质量风险管理工程师</w:t>
      </w:r>
      <w:bookmarkEnd w:id="35"/>
      <w:r>
        <w:rPr>
          <w:rFonts w:hint="eastAsia"/>
        </w:rPr>
        <w:t>（分为土建、装修、机电等审查岗位）应符合如下资格要求：具有5年及以上相关专业工作经验，具有相应专业一级注册建造师、注册监理工程师执业资格或相关专业中级及以上职称的人员。其工作职责应包括：</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实施投保项目相应专业的施工过程和回访期的质量风险评估；</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实施相应专业的质量风险定期现场巡查，包括资料检查、实体检查、检验试验等；</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编写施工期间和回访期过程和重要节点的质量风险评估报告；</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跟踪记录发现质量问题的整改情况；</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质量问题、评估报告在信息管理平台的上传、整改确认等工作；</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实施投保项目回访期的回访检查，竣工后对质量问题定期现场巡查和专项检查，了解保险标的在当前使用情况下的质量风险状况，是否还存在正在发展的质量缺陷；</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跟踪落实竣工遗留质量缺陷的整改情况，收集回访期内新发生的质量缺陷情况是否得到妥善处理，查看物业报修记录单，业主提出的风险是否都已销项；</w:t>
      </w:r>
    </w:p>
    <w:p w:rsidR="001C66B0" w:rsidRDefault="00D005FC">
      <w:pPr>
        <w:pStyle w:val="a6"/>
        <w:numPr>
          <w:ilvl w:val="0"/>
          <w:numId w:val="2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项目资料、检查过程资料的收集、整理、归档工作。</w:t>
      </w:r>
    </w:p>
    <w:p w:rsidR="001C66B0" w:rsidRDefault="00D005FC">
      <w:pPr>
        <w:pStyle w:val="3"/>
      </w:pPr>
      <w:r>
        <w:rPr>
          <w:rFonts w:hint="eastAsia"/>
        </w:rPr>
        <w:t>施工安全风险管理工程师应符合如下资格要求：具有5年及以上相关专业工作经验，具有建筑施工安全专业注册安全工程师执业资格，其工作职责应包括：</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实施投保项目施工过程的安全事故预防服务和安全风险评估；</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核查项目安全管理体系，包括风险分级管控情况、安全隐患排查情况等；</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实施施工期间的安全风险定期现场巡查；</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编写施工过程施工安全风险评估报告； </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跟踪落实发现安全隐患的整改情况；</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安全隐患、评估报告在相应信息管理平台的上传、整改确认等工作；</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对投保项目实施安全事故预防培训；</w:t>
      </w:r>
    </w:p>
    <w:p w:rsidR="001C66B0" w:rsidRDefault="00D005FC">
      <w:pPr>
        <w:pStyle w:val="a6"/>
        <w:numPr>
          <w:ilvl w:val="0"/>
          <w:numId w:val="2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项目资料、检查过程资料的收集、整理、归档工作。</w:t>
      </w:r>
    </w:p>
    <w:p w:rsidR="001C66B0" w:rsidRDefault="00D005FC">
      <w:pPr>
        <w:pStyle w:val="3"/>
      </w:pPr>
      <w:r>
        <w:rPr>
          <w:rFonts w:hint="eastAsia"/>
        </w:rPr>
        <w:t>回访期质量投诉技术调查工程师（分为</w:t>
      </w:r>
      <w:r>
        <w:rPr>
          <w:rFonts w:hint="eastAsia"/>
          <w:bCs/>
        </w:rPr>
        <w:t>土建、装修、机电</w:t>
      </w:r>
      <w:r>
        <w:rPr>
          <w:rFonts w:hint="eastAsia"/>
        </w:rPr>
        <w:t>等岗位）应符合如下资格要求：具有</w:t>
      </w:r>
      <w:r>
        <w:t>5</w:t>
      </w:r>
      <w:r>
        <w:rPr>
          <w:rFonts w:hint="eastAsia"/>
        </w:rPr>
        <w:t>年及以上建筑工程质量管理工作经验；取得一级注册建造师或注册监理工程师</w:t>
      </w:r>
      <w:r>
        <w:t>执业资格</w:t>
      </w:r>
      <w:r>
        <w:rPr>
          <w:rFonts w:hint="eastAsia"/>
        </w:rPr>
        <w:t>或相关专业中级及以上职称的人员。其工作职责应包括：</w:t>
      </w:r>
    </w:p>
    <w:p w:rsidR="001C66B0" w:rsidRDefault="00D005FC">
      <w:pPr>
        <w:pStyle w:val="a6"/>
        <w:numPr>
          <w:ilvl w:val="0"/>
          <w:numId w:val="2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协助建设行政主管部门对业主质量投诉问题进行现场技术调查和原因分析，提出技术建议；</w:t>
      </w:r>
    </w:p>
    <w:p w:rsidR="001C66B0" w:rsidRDefault="00D005FC">
      <w:pPr>
        <w:pStyle w:val="a6"/>
        <w:numPr>
          <w:ilvl w:val="0"/>
          <w:numId w:val="2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统计、分析回访期质量问题情况，视情况协同施工质量风险管理工程师在回访期巡查中重点检查或实施专项检查；</w:t>
      </w:r>
    </w:p>
    <w:p w:rsidR="001C66B0" w:rsidRDefault="00D005FC">
      <w:pPr>
        <w:pStyle w:val="a6"/>
        <w:numPr>
          <w:ilvl w:val="0"/>
          <w:numId w:val="2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质量投诉处理资料的整理、归档工作；</w:t>
      </w:r>
    </w:p>
    <w:p w:rsidR="001C66B0" w:rsidRDefault="00D005FC">
      <w:pPr>
        <w:pStyle w:val="a6"/>
        <w:numPr>
          <w:ilvl w:val="0"/>
          <w:numId w:val="2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编写回访期评估报告的质量投诉记录部分。</w:t>
      </w:r>
    </w:p>
    <w:p w:rsidR="001C66B0" w:rsidRDefault="00D005FC">
      <w:pPr>
        <w:pStyle w:val="3"/>
      </w:pPr>
      <w:r>
        <w:rPr>
          <w:rFonts w:hint="eastAsia"/>
        </w:rPr>
        <w:t>风险管理机构应针对具体投保项目，组建满足质量安全服务工作需要的</w:t>
      </w:r>
      <w:r>
        <w:rPr>
          <w:rStyle w:val="3Char"/>
          <w:rFonts w:hint="eastAsia"/>
        </w:rPr>
        <w:t>风险管理服务团队，其</w:t>
      </w:r>
      <w:r>
        <w:rPr>
          <w:rFonts w:hint="eastAsia"/>
        </w:rPr>
        <w:t>中包括勘察设计风险评估小组、施工过程和回访期风险评估小组、质量投诉技术调查小组，具体应包括：</w:t>
      </w:r>
    </w:p>
    <w:p w:rsidR="001C66B0" w:rsidRDefault="00D005FC">
      <w:pPr>
        <w:pStyle w:val="a6"/>
        <w:numPr>
          <w:ilvl w:val="0"/>
          <w:numId w:val="2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lastRenderedPageBreak/>
        <w:t>勘察设计风险小组人员由勘察设计风险管理工程师组成，成员应满足勘察设计风险管理对岩土、建筑、结构、给水排水、建筑电气、供暖、通风与空调、造价等各专业文件审查的需求。造价5亿元及以上的投保项目，对岩土勘察报告和结构设计文件应至少由2名相关专业的工程师分别进行审查，独立出具评估意见。</w:t>
      </w:r>
    </w:p>
    <w:p w:rsidR="001C66B0" w:rsidRDefault="00D005FC">
      <w:pPr>
        <w:pStyle w:val="a6"/>
        <w:numPr>
          <w:ilvl w:val="0"/>
          <w:numId w:val="2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施工过程和回访期风险评估小组由施工质量风险管理工程师、施工安全风险管理工程师组成，成员应满足施工过程现场检查和回访检查中，对土建、装修、机电、安全等各专业检查的需求。施工过程每次现场检查，施工质量风险管理工程师不应少于2人，施工安全风险管理工程师不应少于1人，其中，造价5亿元及以上的投保项目，施工质量风险管理工程师不应少于</w:t>
      </w:r>
      <w:r>
        <w:rPr>
          <w:rFonts w:asciiTheme="minorEastAsia" w:hAnsiTheme="minorEastAsia" w:cstheme="minorEastAsia"/>
          <w:bCs/>
        </w:rPr>
        <w:t>3</w:t>
      </w:r>
      <w:r>
        <w:rPr>
          <w:rFonts w:asciiTheme="minorEastAsia" w:hAnsiTheme="minorEastAsia" w:cstheme="minorEastAsia" w:hint="eastAsia"/>
          <w:bCs/>
        </w:rPr>
        <w:t>人。施工质量风险检查与安全风险检查人员不得为同一人。</w:t>
      </w:r>
    </w:p>
    <w:p w:rsidR="001C66B0" w:rsidRDefault="00D005FC">
      <w:pPr>
        <w:pStyle w:val="a6"/>
        <w:numPr>
          <w:ilvl w:val="0"/>
          <w:numId w:val="2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质量投诉技术调查小组由回访期质量投诉技术调查工程师组成，成员应满足回访期质量投诉技术调查对结构、土建、装修、机电等各专业问题分析和调查的需求。</w:t>
      </w:r>
    </w:p>
    <w:p w:rsidR="001C66B0" w:rsidRDefault="00D005FC">
      <w:pPr>
        <w:pStyle w:val="3"/>
        <w:rPr>
          <w:rStyle w:val="3Char"/>
        </w:rPr>
      </w:pPr>
      <w:r>
        <w:rPr>
          <w:rStyle w:val="3Char"/>
          <w:rFonts w:hint="eastAsia"/>
        </w:rPr>
        <w:t>风险管理机构应根据每个投保项目的规模、风险特点和建设进度，针对性的指派专业齐全、人数达标的风险管理服务团队，且成员近5年内未因违反工程建设法律法规和强制性标准受到行政处罚。</w:t>
      </w:r>
    </w:p>
    <w:p w:rsidR="001C66B0" w:rsidRDefault="00D005FC">
      <w:pPr>
        <w:pStyle w:val="3"/>
        <w:rPr>
          <w:rStyle w:val="3Char"/>
        </w:rPr>
      </w:pPr>
      <w:r>
        <w:rPr>
          <w:rStyle w:val="3Char"/>
          <w:rFonts w:hint="eastAsia"/>
        </w:rPr>
        <w:t>风险管理服务团队应在投保项目风险管理委托合同中予以明确，风险管理机构应保持团队人员稳定，指派到投保项目的风险管理项目经理原则上不更换，确实需要更换时，应报保险公司备案同意后更换。</w:t>
      </w:r>
    </w:p>
    <w:p w:rsidR="001C66B0" w:rsidRDefault="001C66B0">
      <w:pPr>
        <w:sectPr w:rsidR="001C66B0">
          <w:footerReference w:type="default" r:id="rId14"/>
          <w:pgSz w:w="11910" w:h="16840"/>
          <w:pgMar w:top="1400" w:right="1220" w:bottom="1600" w:left="1400" w:header="995" w:footer="1323" w:gutter="0"/>
          <w:pgNumType w:start="1"/>
          <w:cols w:space="720"/>
        </w:sectPr>
      </w:pPr>
    </w:p>
    <w:p w:rsidR="001C66B0" w:rsidRDefault="00D005FC">
      <w:pPr>
        <w:pStyle w:val="1"/>
      </w:pPr>
      <w:bookmarkStart w:id="36" w:name="_Toc176713655"/>
      <w:r>
        <w:rPr>
          <w:rFonts w:hint="eastAsia"/>
        </w:rPr>
        <w:lastRenderedPageBreak/>
        <w:t>风险管理服务</w:t>
      </w:r>
      <w:bookmarkEnd w:id="36"/>
    </w:p>
    <w:p w:rsidR="001C66B0" w:rsidRDefault="00D005FC">
      <w:pPr>
        <w:pStyle w:val="2"/>
        <w:spacing w:before="120"/>
      </w:pPr>
      <w:bookmarkStart w:id="37" w:name="_Toc176713656"/>
      <w:r>
        <w:rPr>
          <w:rFonts w:hint="eastAsia"/>
        </w:rPr>
        <w:t>一般规定</w:t>
      </w:r>
      <w:bookmarkEnd w:id="37"/>
    </w:p>
    <w:p w:rsidR="001C66B0" w:rsidRDefault="00D005FC">
      <w:pPr>
        <w:pStyle w:val="3"/>
      </w:pPr>
      <w:r>
        <w:t>建筑工程质量安全综合保险</w:t>
      </w:r>
      <w:r>
        <w:rPr>
          <w:rFonts w:hint="eastAsia"/>
        </w:rPr>
        <w:t>的</w:t>
      </w:r>
      <w:bookmarkStart w:id="38" w:name="_Hlk101446958"/>
      <w:r>
        <w:rPr>
          <w:rFonts w:hint="eastAsia"/>
        </w:rPr>
        <w:t>风险管理服务</w:t>
      </w:r>
      <w:bookmarkEnd w:id="38"/>
      <w:r>
        <w:rPr>
          <w:rFonts w:hint="eastAsia"/>
        </w:rPr>
        <w:t>围绕</w:t>
      </w:r>
      <w:r>
        <w:t>保险责任</w:t>
      </w:r>
      <w:r>
        <w:rPr>
          <w:rFonts w:hint="eastAsia"/>
        </w:rPr>
        <w:t>开展，覆盖投保项目勘察设计、施工过程、竣工验收和回访期全过程，并遵循“预防为主、防查并举”的原则。</w:t>
      </w:r>
    </w:p>
    <w:p w:rsidR="001C66B0" w:rsidRDefault="00D005FC">
      <w:pPr>
        <w:pStyle w:val="3"/>
      </w:pPr>
      <w:r>
        <w:rPr>
          <w:rFonts w:hint="eastAsia"/>
        </w:rPr>
        <w:t>风险管理服务应以为保险公司提供技术支持,</w:t>
      </w:r>
      <w:bookmarkStart w:id="39" w:name="OLE_LINK5"/>
      <w:r>
        <w:rPr>
          <w:rFonts w:hint="eastAsia"/>
          <w:bCs/>
        </w:rPr>
        <w:t>达到</w:t>
      </w:r>
      <w:bookmarkEnd w:id="39"/>
      <w:r>
        <w:rPr>
          <w:rFonts w:hint="eastAsia"/>
          <w:bCs/>
        </w:rPr>
        <w:t>对保险标的的风险进行有效防范，降低保险标的在保险范围内的风险出现频率和损失程度</w:t>
      </w:r>
      <w:r>
        <w:rPr>
          <w:rFonts w:hint="eastAsia"/>
        </w:rPr>
        <w:t>的服务目的</w:t>
      </w:r>
      <w:r>
        <w:rPr>
          <w:rFonts w:hint="eastAsia"/>
          <w:bCs/>
        </w:rPr>
        <w:t>，具体应</w:t>
      </w:r>
      <w:r>
        <w:rPr>
          <w:rFonts w:hint="eastAsia"/>
        </w:rPr>
        <w:t xml:space="preserve">包括： </w:t>
      </w:r>
    </w:p>
    <w:p w:rsidR="001C66B0" w:rsidRDefault="00D005FC">
      <w:pPr>
        <w:pStyle w:val="a6"/>
        <w:numPr>
          <w:ilvl w:val="0"/>
          <w:numId w:val="29"/>
        </w:numPr>
        <w:tabs>
          <w:tab w:val="left" w:pos="142"/>
        </w:tabs>
        <w:spacing w:line="360" w:lineRule="auto"/>
        <w:ind w:left="851" w:rightChars="-34" w:right="-71" w:hanging="284"/>
        <w:rPr>
          <w:rFonts w:asciiTheme="minorEastAsia" w:hAnsiTheme="minorEastAsia" w:cstheme="minorEastAsia"/>
          <w:bCs/>
        </w:rPr>
      </w:pPr>
      <w:r>
        <w:rPr>
          <w:rFonts w:ascii="宋体" w:eastAsia="宋体" w:hAnsi="宋体" w:cs="仿宋_GB2312" w:hint="eastAsia"/>
          <w:szCs w:val="32"/>
        </w:rPr>
        <w:t>识</w:t>
      </w:r>
      <w:r>
        <w:rPr>
          <w:rFonts w:asciiTheme="minorEastAsia" w:hAnsiTheme="minorEastAsia" w:cstheme="minorEastAsia" w:hint="eastAsia"/>
          <w:bCs/>
        </w:rPr>
        <w:t>别和评估建筑工程质量、安全风险，减少和降低质量、安全损失的发生概率和严重程度；</w:t>
      </w:r>
    </w:p>
    <w:p w:rsidR="001C66B0" w:rsidRDefault="00D005FC">
      <w:pPr>
        <w:pStyle w:val="a6"/>
        <w:numPr>
          <w:ilvl w:val="0"/>
          <w:numId w:val="29"/>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为投保项目提供质量、安全风险识别分析，辅助投保项目提升质量、安全管理水平。</w:t>
      </w:r>
    </w:p>
    <w:p w:rsidR="001C66B0" w:rsidRDefault="00D005FC">
      <w:pPr>
        <w:pStyle w:val="3"/>
      </w:pPr>
      <w:r>
        <w:rPr>
          <w:rFonts w:hint="eastAsia"/>
        </w:rPr>
        <w:t>保险公司应统筹安排投保项目的风险管理服务工作，与投保项目建立风险管理服务沟通协调机制，全过程跟踪掌握质量安全风险管理情况。</w:t>
      </w:r>
    </w:p>
    <w:p w:rsidR="001C66B0" w:rsidRDefault="00D005FC">
      <w:pPr>
        <w:pStyle w:val="3"/>
      </w:pPr>
      <w:r>
        <w:rPr>
          <w:rFonts w:hint="eastAsia"/>
        </w:rPr>
        <w:t>风险管理服务期限自</w:t>
      </w:r>
      <w:r>
        <w:t>风险管理机构与保险公司签订风险管理</w:t>
      </w:r>
      <w:r>
        <w:rPr>
          <w:rFonts w:hint="eastAsia"/>
        </w:rPr>
        <w:t>服务</w:t>
      </w:r>
      <w:r>
        <w:t>合同</w:t>
      </w:r>
      <w:r>
        <w:rPr>
          <w:rFonts w:hint="eastAsia"/>
        </w:rPr>
        <w:t>起，至投保项目回访期结束时止，实施过程划分为勘察设计阶段、施工阶段、竣工阶段和回访阶段四个阶段。投保项目开工前的阶段为风险管理服务的勘察设计阶段，投保项目开工至竣工验收前2</w:t>
      </w:r>
      <w:r>
        <w:t>0</w:t>
      </w:r>
      <w:r>
        <w:rPr>
          <w:rFonts w:hint="eastAsia"/>
        </w:rPr>
        <w:t>日为风险管理服务的施工阶段，投保项目竣工验收前2</w:t>
      </w:r>
      <w:r>
        <w:t>0</w:t>
      </w:r>
      <w:r>
        <w:rPr>
          <w:rFonts w:hint="eastAsia"/>
        </w:rPr>
        <w:t>日至竣工验收合格之日为风险管理服务的竣工阶段，投保项目竣工验收后的回访期为风险管理服务的回访阶段。</w:t>
      </w:r>
    </w:p>
    <w:p w:rsidR="001C66B0" w:rsidRDefault="00D005FC">
      <w:pPr>
        <w:pStyle w:val="2"/>
        <w:spacing w:before="120"/>
      </w:pPr>
      <w:bookmarkStart w:id="40" w:name="_Toc176713657"/>
      <w:r>
        <w:t>工作依据</w:t>
      </w:r>
      <w:bookmarkEnd w:id="40"/>
    </w:p>
    <w:p w:rsidR="001C66B0" w:rsidRDefault="00D005FC">
      <w:pPr>
        <w:pStyle w:val="3"/>
      </w:pPr>
      <w:r>
        <w:rPr>
          <w:rFonts w:hint="eastAsia"/>
        </w:rPr>
        <w:t>风险管理服务工作开展的基本工作</w:t>
      </w:r>
      <w:r>
        <w:t>依据</w:t>
      </w:r>
      <w:r>
        <w:rPr>
          <w:rFonts w:hint="eastAsia"/>
        </w:rPr>
        <w:t>应包括：</w:t>
      </w:r>
    </w:p>
    <w:p w:rsidR="001C66B0" w:rsidRDefault="00D005FC">
      <w:pPr>
        <w:pStyle w:val="a6"/>
        <w:numPr>
          <w:ilvl w:val="0"/>
          <w:numId w:val="30"/>
        </w:numPr>
        <w:tabs>
          <w:tab w:val="left" w:pos="142"/>
        </w:tabs>
        <w:spacing w:line="360" w:lineRule="auto"/>
        <w:ind w:left="851" w:rightChars="-34" w:right="-71" w:hanging="284"/>
        <w:rPr>
          <w:rFonts w:asciiTheme="minorEastAsia" w:hAnsiTheme="minorEastAsia" w:cstheme="minorEastAsia"/>
          <w:bCs/>
        </w:rPr>
      </w:pPr>
      <w:r>
        <w:rPr>
          <w:rFonts w:ascii="宋体" w:eastAsia="宋体" w:hAnsi="宋体" w:cs="仿宋_GB2312" w:hint="eastAsia"/>
          <w:szCs w:val="32"/>
        </w:rPr>
        <w:t>法</w:t>
      </w:r>
      <w:r>
        <w:rPr>
          <w:rFonts w:asciiTheme="minorEastAsia" w:hAnsiTheme="minorEastAsia" w:cstheme="minorEastAsia" w:hint="eastAsia"/>
          <w:bCs/>
        </w:rPr>
        <w:t xml:space="preserve">律、法规、部门规章和政策性文件； </w:t>
      </w:r>
    </w:p>
    <w:p w:rsidR="001C66B0" w:rsidRDefault="00D005FC">
      <w:pPr>
        <w:pStyle w:val="a6"/>
        <w:numPr>
          <w:ilvl w:val="0"/>
          <w:numId w:val="3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相关</w:t>
      </w:r>
      <w:r>
        <w:rPr>
          <w:rFonts w:asciiTheme="minorEastAsia" w:hAnsiTheme="minorEastAsia" w:cstheme="minorEastAsia" w:hint="eastAsia"/>
          <w:bCs/>
        </w:rPr>
        <w:t>工程质量、</w:t>
      </w:r>
      <w:r>
        <w:rPr>
          <w:rFonts w:asciiTheme="minorEastAsia" w:hAnsiTheme="minorEastAsia" w:cstheme="minorEastAsia"/>
          <w:bCs/>
        </w:rPr>
        <w:t>安全标准和技术标准；</w:t>
      </w:r>
    </w:p>
    <w:p w:rsidR="001C66B0" w:rsidRDefault="00D005FC">
      <w:pPr>
        <w:pStyle w:val="a6"/>
        <w:numPr>
          <w:ilvl w:val="0"/>
          <w:numId w:val="3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建设单位投保的工程质量安全综合保险合同及保险条款； </w:t>
      </w:r>
    </w:p>
    <w:p w:rsidR="001C66B0" w:rsidRDefault="00D005FC">
      <w:pPr>
        <w:pStyle w:val="a6"/>
        <w:numPr>
          <w:ilvl w:val="0"/>
          <w:numId w:val="3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保险公司和风险管理机构签订的委托合同；</w:t>
      </w:r>
    </w:p>
    <w:p w:rsidR="001C66B0" w:rsidRDefault="00D005FC">
      <w:pPr>
        <w:pStyle w:val="a6"/>
        <w:numPr>
          <w:ilvl w:val="0"/>
          <w:numId w:val="30"/>
        </w:numPr>
        <w:tabs>
          <w:tab w:val="left" w:pos="142"/>
        </w:tabs>
        <w:spacing w:line="360" w:lineRule="auto"/>
        <w:ind w:left="851" w:rightChars="-34" w:right="-71" w:hanging="284"/>
        <w:rPr>
          <w:rFonts w:ascii="宋体" w:eastAsia="宋体" w:hAnsi="宋体" w:cs="仿宋_GB2312"/>
          <w:szCs w:val="32"/>
        </w:rPr>
      </w:pPr>
      <w:r>
        <w:rPr>
          <w:rFonts w:asciiTheme="minorEastAsia" w:hAnsiTheme="minorEastAsia" w:cstheme="minorEastAsia" w:hint="eastAsia"/>
          <w:bCs/>
        </w:rPr>
        <w:t>最</w:t>
      </w:r>
      <w:r>
        <w:rPr>
          <w:rFonts w:ascii="宋体" w:eastAsia="宋体" w:hAnsi="宋体" w:cs="仿宋_GB2312" w:hint="eastAsia"/>
          <w:szCs w:val="32"/>
        </w:rPr>
        <w:t>新工程技术研究成果。</w:t>
      </w:r>
    </w:p>
    <w:p w:rsidR="001C66B0" w:rsidRDefault="00D005FC">
      <w:pPr>
        <w:pStyle w:val="3"/>
      </w:pPr>
      <w:r>
        <w:rPr>
          <w:rFonts w:hint="eastAsia"/>
        </w:rPr>
        <w:t>风险管理服务的其他工作依据应包括：</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工程勘察</w:t>
      </w:r>
      <w:r>
        <w:rPr>
          <w:rFonts w:asciiTheme="minorEastAsia" w:hAnsiTheme="minorEastAsia" w:cstheme="minorEastAsia" w:hint="eastAsia"/>
          <w:bCs/>
        </w:rPr>
        <w:t>、</w:t>
      </w:r>
      <w:r>
        <w:rPr>
          <w:rFonts w:asciiTheme="minorEastAsia" w:hAnsiTheme="minorEastAsia" w:cstheme="minorEastAsia"/>
          <w:bCs/>
        </w:rPr>
        <w:t>设计文件</w:t>
      </w:r>
      <w:r>
        <w:rPr>
          <w:rFonts w:asciiTheme="minorEastAsia" w:hAnsiTheme="minorEastAsia" w:cstheme="minorEastAsia" w:hint="eastAsia"/>
          <w:bCs/>
        </w:rPr>
        <w:t>（包括计算书、深化设计文件、设计交底纪要、设计变更通知单、变更洽商记录等）；</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项目建设有关的批复性文件、各种规划审核和许可或备案文件、审图机构关于勘察文件和设计文件的审查合格证明文件、消防设计审核文件、施工许可文件、工程质量监督交底书等文件；</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建设单位提供的技术标准（如有，必须高于国家及地方标准、规范）；</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施工总承包合同、施工专业分包合同；</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建设工程监理合同；</w:t>
      </w:r>
    </w:p>
    <w:p w:rsidR="001C66B0" w:rsidRDefault="00D005FC">
      <w:pPr>
        <w:pStyle w:val="a6"/>
        <w:numPr>
          <w:ilvl w:val="0"/>
          <w:numId w:val="31"/>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施工组织设计、专项施工方案等相关工程技术文件；</w:t>
      </w:r>
    </w:p>
    <w:p w:rsidR="001C66B0" w:rsidRDefault="00D005FC">
      <w:pPr>
        <w:pStyle w:val="a6"/>
        <w:numPr>
          <w:ilvl w:val="0"/>
          <w:numId w:val="31"/>
        </w:numPr>
        <w:tabs>
          <w:tab w:val="left" w:pos="142"/>
        </w:tabs>
        <w:spacing w:line="360" w:lineRule="auto"/>
        <w:ind w:left="851" w:rightChars="-34" w:right="-71" w:hanging="284"/>
        <w:rPr>
          <w:rFonts w:ascii="宋体" w:eastAsia="宋体" w:hAnsi="宋体" w:cs="仿宋_GB2312"/>
          <w:szCs w:val="32"/>
        </w:rPr>
      </w:pPr>
      <w:r>
        <w:rPr>
          <w:rFonts w:asciiTheme="minorEastAsia" w:hAnsiTheme="minorEastAsia" w:cstheme="minorEastAsia" w:hint="eastAsia"/>
          <w:bCs/>
        </w:rPr>
        <w:lastRenderedPageBreak/>
        <w:t>监理规划、监</w:t>
      </w:r>
      <w:r>
        <w:rPr>
          <w:rFonts w:ascii="宋体" w:eastAsia="宋体" w:hAnsi="宋体" w:cs="仿宋_GB2312" w:hint="eastAsia"/>
          <w:szCs w:val="32"/>
        </w:rPr>
        <w:t>理实施细则等相关监理文件</w:t>
      </w:r>
      <w:r>
        <w:rPr>
          <w:rFonts w:ascii="宋体" w:eastAsia="宋体" w:hAnsi="宋体" w:cs="仿宋_GB2312"/>
          <w:szCs w:val="32"/>
        </w:rPr>
        <w:t>。</w:t>
      </w:r>
    </w:p>
    <w:p w:rsidR="001C66B0" w:rsidRDefault="00D005FC">
      <w:pPr>
        <w:pStyle w:val="2"/>
        <w:spacing w:before="120"/>
      </w:pPr>
      <w:bookmarkStart w:id="41" w:name="_Toc176713658"/>
      <w:bookmarkStart w:id="42" w:name="_Hlk101447519"/>
      <w:r>
        <w:rPr>
          <w:rFonts w:hint="eastAsia"/>
        </w:rPr>
        <w:t>检查工作方法</w:t>
      </w:r>
      <w:bookmarkEnd w:id="41"/>
    </w:p>
    <w:p w:rsidR="001C66B0" w:rsidRDefault="00D005FC">
      <w:pPr>
        <w:pStyle w:val="3"/>
      </w:pPr>
      <w:r>
        <w:rPr>
          <w:rFonts w:hint="eastAsia"/>
        </w:rPr>
        <w:t xml:space="preserve">风险管理服务应结合投保项目实际情况和特点，综合采用多种工作方法开展质量风险管理和安全事故预防服务，包括但不限于： </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现场踏勘；</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资料审查；</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数据分析；</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现场检测试验；</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调查询问座谈；</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视频监察远程查看；</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问题反馈；</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整改跟踪；</w:t>
      </w:r>
    </w:p>
    <w:p w:rsidR="001C66B0" w:rsidRDefault="00D005FC">
      <w:pPr>
        <w:pStyle w:val="a6"/>
        <w:numPr>
          <w:ilvl w:val="0"/>
          <w:numId w:val="3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评估报告。</w:t>
      </w:r>
    </w:p>
    <w:p w:rsidR="001C66B0" w:rsidRDefault="00D005FC">
      <w:pPr>
        <w:pStyle w:val="3"/>
      </w:pPr>
      <w:r>
        <w:rPr>
          <w:rFonts w:hint="eastAsia"/>
        </w:rPr>
        <w:t>风险管理机构宜创新风险管理手段，加强风险管理工作的专业性和科技性，采用互联网、云计算、大数据、物联网、建筑信息模型（</w:t>
      </w:r>
      <w:r>
        <w:t>BIM</w:t>
      </w:r>
      <w:r>
        <w:rPr>
          <w:rFonts w:hint="eastAsia"/>
        </w:rPr>
        <w:t>）等新型技术手段实施服务，将新技术应用于质量安全风险识别、分析、评估、预防、检测工作中。</w:t>
      </w:r>
    </w:p>
    <w:p w:rsidR="001C66B0" w:rsidRDefault="00D005FC">
      <w:pPr>
        <w:pStyle w:val="2"/>
        <w:spacing w:before="120"/>
      </w:pPr>
      <w:bookmarkStart w:id="43" w:name="_Toc176713659"/>
      <w:r>
        <w:rPr>
          <w:rFonts w:hint="eastAsia"/>
        </w:rPr>
        <w:t>勘察设计阶段风险管理服务</w:t>
      </w:r>
      <w:bookmarkEnd w:id="43"/>
    </w:p>
    <w:bookmarkEnd w:id="42"/>
    <w:p w:rsidR="001C66B0" w:rsidRDefault="00D005FC">
      <w:pPr>
        <w:pStyle w:val="3"/>
      </w:pPr>
      <w:r>
        <w:rPr>
          <w:rFonts w:hint="eastAsia"/>
        </w:rPr>
        <w:t>勘察设计阶段，风险管理服务合同签订后，风险管理机构应在保险公司的协调下收集投保项目的勘察设计相关技术文件，包括但不限于：</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参建单位（建设、勘察、设计）资质、营业执照、质量管理体系文件等；</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总体设计文件批复（初步设计文件审查意见）；</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岩土工程勘察报告；</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施工图设计文件；</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设计计算书；</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工程造价清单；</w:t>
      </w:r>
    </w:p>
    <w:p w:rsidR="001C66B0" w:rsidRDefault="00D005FC">
      <w:pPr>
        <w:pStyle w:val="a6"/>
        <w:numPr>
          <w:ilvl w:val="0"/>
          <w:numId w:val="3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第三方审图单位意见。</w:t>
      </w:r>
    </w:p>
    <w:p w:rsidR="001C66B0" w:rsidRDefault="00D005FC">
      <w:pPr>
        <w:pStyle w:val="3"/>
      </w:pPr>
      <w:r>
        <w:rPr>
          <w:rFonts w:hint="eastAsia"/>
        </w:rPr>
        <w:t>勘察设计阶段</w:t>
      </w:r>
      <w:bookmarkStart w:id="44" w:name="_Hlk105289907"/>
      <w:r>
        <w:rPr>
          <w:rFonts w:hint="eastAsia"/>
        </w:rPr>
        <w:t>的风险管理服务应包括以下内容</w:t>
      </w:r>
      <w:bookmarkEnd w:id="44"/>
      <w:r>
        <w:rPr>
          <w:rFonts w:hint="eastAsia"/>
        </w:rPr>
        <w:t>：</w:t>
      </w:r>
    </w:p>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对参建单位资质、质量保证体系、主要参建人员资格情况进行评估；</w:t>
      </w:r>
    </w:p>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现场踏勘项目周边环境情况，了解场地环境与地基基础工程的风险；</w:t>
      </w:r>
    </w:p>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审查勘察报告、施工图设计文件、造价文件涉及工程质量方面内容的正确性、合理性；</w:t>
      </w:r>
    </w:p>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审查勘察文件中地质条件可能造成的工程安全风险、设计文件中涉及危大工程的关键部位和关键工序，以及影响</w:t>
      </w:r>
      <w:r>
        <w:rPr>
          <w:rFonts w:asciiTheme="minorEastAsia" w:hAnsiTheme="minorEastAsia" w:cstheme="minorEastAsia"/>
          <w:bCs/>
        </w:rPr>
        <w:t>工程周边环境安全</w:t>
      </w:r>
      <w:r>
        <w:rPr>
          <w:rFonts w:asciiTheme="minorEastAsia" w:hAnsiTheme="minorEastAsia" w:cstheme="minorEastAsia" w:hint="eastAsia"/>
          <w:bCs/>
        </w:rPr>
        <w:t>、工程施工安全的相关内容的准确性和充分性</w:t>
      </w:r>
    </w:p>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bookmarkStart w:id="45" w:name="_Hlk101681548"/>
      <w:r>
        <w:rPr>
          <w:rFonts w:asciiTheme="minorEastAsia" w:hAnsiTheme="minorEastAsia" w:cstheme="minorEastAsia" w:hint="eastAsia"/>
          <w:bCs/>
        </w:rPr>
        <w:lastRenderedPageBreak/>
        <w:t>评估项目勘察设计文件涉及的工程质量风险，相关资料提供齐全后</w:t>
      </w:r>
      <w:r>
        <w:rPr>
          <w:rFonts w:asciiTheme="minorEastAsia" w:hAnsiTheme="minorEastAsia" w:cstheme="minorEastAsia"/>
          <w:bCs/>
        </w:rPr>
        <w:t>20</w:t>
      </w:r>
      <w:r>
        <w:rPr>
          <w:rFonts w:asciiTheme="minorEastAsia" w:hAnsiTheme="minorEastAsia" w:cstheme="minorEastAsia" w:hint="eastAsia"/>
          <w:bCs/>
        </w:rPr>
        <w:t>日内出具《R0勘察设计质量风险评估报告》（参考模板见附录D），并对地基基础及主体结构、防水保温、装修工程及安装工程等分别出具专项设计风险评估报告，相应问题清单提交建设单位组织整改。</w:t>
      </w:r>
    </w:p>
    <w:bookmarkEnd w:id="45"/>
    <w:p w:rsidR="001C66B0" w:rsidRDefault="00D005FC">
      <w:pPr>
        <w:pStyle w:val="a6"/>
        <w:numPr>
          <w:ilvl w:val="0"/>
          <w:numId w:val="3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评估项目勘察设计文件涉及的施工安全风险，相关资料提供齐全后</w:t>
      </w:r>
      <w:r>
        <w:rPr>
          <w:rFonts w:asciiTheme="minorEastAsia" w:hAnsiTheme="minorEastAsia" w:cstheme="minorEastAsia"/>
          <w:bCs/>
        </w:rPr>
        <w:t>20</w:t>
      </w:r>
      <w:r>
        <w:rPr>
          <w:rFonts w:asciiTheme="minorEastAsia" w:hAnsiTheme="minorEastAsia" w:cstheme="minorEastAsia" w:hint="eastAsia"/>
          <w:bCs/>
        </w:rPr>
        <w:t>日内出具《A</w:t>
      </w:r>
      <w:r>
        <w:rPr>
          <w:rFonts w:asciiTheme="minorEastAsia" w:hAnsiTheme="minorEastAsia" w:cstheme="minorEastAsia"/>
          <w:bCs/>
        </w:rPr>
        <w:t>0</w:t>
      </w:r>
      <w:r>
        <w:rPr>
          <w:rFonts w:asciiTheme="minorEastAsia" w:hAnsiTheme="minorEastAsia" w:cstheme="minorEastAsia" w:hint="eastAsia"/>
          <w:bCs/>
        </w:rPr>
        <w:t>勘察设计安全风险评估报告》，相应问题清单提交建设单位组织整改。</w:t>
      </w:r>
    </w:p>
    <w:p w:rsidR="001C66B0" w:rsidRDefault="00D005FC">
      <w:pPr>
        <w:pStyle w:val="3"/>
      </w:pPr>
      <w:r>
        <w:rPr>
          <w:rFonts w:hint="eastAsia"/>
        </w:rPr>
        <w:t>风险管理机构应结合投保项目的实际情况和风险特点，编制《风险管理服务计划》提交保险公司，计划应包括以下内容：</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项目基本信息：项目名称、地址、建设规模、结构类型、参建单位、项目进度计划等；</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项目风险管理团队人员配备及分工；</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风险管理服务依据；</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风险管理服务内容、风险评估范围、检查频次安排、工作流程等；</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过程检查方法、质量检测手段、查勘设备等；</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过程中需重点控制的节点、部位、工序及专项计划等；</w:t>
      </w:r>
    </w:p>
    <w:p w:rsidR="001C66B0" w:rsidRDefault="00D005FC">
      <w:pPr>
        <w:pStyle w:val="a6"/>
        <w:numPr>
          <w:ilvl w:val="0"/>
          <w:numId w:val="3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拟出具的报告或形成的成果文件。</w:t>
      </w:r>
    </w:p>
    <w:p w:rsidR="001C66B0" w:rsidRDefault="00D005FC">
      <w:pPr>
        <w:pStyle w:val="2"/>
        <w:spacing w:before="120"/>
      </w:pPr>
      <w:bookmarkStart w:id="46" w:name="_Toc176713660"/>
      <w:r>
        <w:rPr>
          <w:rFonts w:hint="eastAsia"/>
        </w:rPr>
        <w:t>施工阶段风险管理服务</w:t>
      </w:r>
      <w:bookmarkEnd w:id="46"/>
    </w:p>
    <w:p w:rsidR="001C66B0" w:rsidRDefault="00D005FC">
      <w:pPr>
        <w:pStyle w:val="3"/>
      </w:pPr>
      <w:bookmarkStart w:id="47" w:name="_Hlk105922232"/>
      <w:r>
        <w:rPr>
          <w:rFonts w:hint="eastAsia"/>
        </w:rPr>
        <w:t>召开入场交底会。</w:t>
      </w:r>
      <w:r>
        <w:rPr>
          <w:rFonts w:asciiTheme="minorHAnsi" w:hAnsiTheme="minorHAnsi" w:cstheme="minorBidi" w:hint="eastAsia"/>
        </w:rPr>
        <w:t>保险公司应在</w:t>
      </w:r>
      <w:r>
        <w:rPr>
          <w:rFonts w:hint="eastAsia"/>
        </w:rPr>
        <w:t>项目开工后</w:t>
      </w:r>
      <w:r>
        <w:t>20</w:t>
      </w:r>
      <w:r>
        <w:rPr>
          <w:rFonts w:hint="eastAsia"/>
        </w:rPr>
        <w:t>日内组织风险管理服务入场交底会，由风险管理机构向参建单位进行风险管理服务交底，开始施工阶段过程风险管理服务，建设单位、勘察单位、设计单位、施工单位、监理单位应参加。入场交底会可根据工程质量安全监督机构的要求，与首次监督交底会议合并进行。入场交底的内容应包括：</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向各方阐明风险管理服务的目的、依据、评估范围；</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介绍风险管理服务团队及人员职责分工；</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告知风险管理服务的内容、检查方法、服务频次、工作流程；</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对投保项目施工阶段的质量、安全关键点进行事前风险提示；</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明确需要参建单位协调配合的相关事宜；</w:t>
      </w:r>
    </w:p>
    <w:p w:rsidR="001C66B0" w:rsidRDefault="00D005FC">
      <w:pPr>
        <w:pStyle w:val="a6"/>
        <w:numPr>
          <w:ilvl w:val="0"/>
          <w:numId w:val="36"/>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形成会议记录材料（包括会议纪要、签到表、会议照片等）。</w:t>
      </w:r>
    </w:p>
    <w:bookmarkEnd w:id="47"/>
    <w:p w:rsidR="001C66B0" w:rsidRDefault="00D005FC">
      <w:pPr>
        <w:pStyle w:val="3"/>
      </w:pPr>
      <w:r>
        <w:rPr>
          <w:rFonts w:hint="eastAsia"/>
        </w:rPr>
        <w:t>召开入场交底会后，风险管理机构应按照服务计划实施质量、安全风险现场过程检查服务，过程检查频次平均每月</w:t>
      </w:r>
      <w:r>
        <w:t>2</w:t>
      </w:r>
      <w:r>
        <w:rPr>
          <w:rFonts w:hint="eastAsia"/>
        </w:rPr>
        <w:t>次（工程停工期间除外），关键节点或发现重大风险时应适当增加检查频次。</w:t>
      </w:r>
    </w:p>
    <w:p w:rsidR="001C66B0" w:rsidRDefault="00D005FC">
      <w:pPr>
        <w:pStyle w:val="3"/>
        <w:tabs>
          <w:tab w:val="left" w:pos="142"/>
        </w:tabs>
        <w:jc w:val="left"/>
        <w:rPr>
          <w:bCs/>
        </w:rPr>
      </w:pPr>
      <w:r>
        <w:rPr>
          <w:rFonts w:hint="eastAsia"/>
          <w:bCs/>
        </w:rPr>
        <w:t>施工阶段的质量风险管理服务应包括以下内容：</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对分包单位资质、质量保证体系、主要人员资格情况进行评估；</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审查施工组织设计和专项施工方案、监理规划和监理实施细则；</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质量管理行为检查：审查项目各参建单位质量管理行为，质量保证体系运行情况，包括：</w:t>
      </w:r>
    </w:p>
    <w:p w:rsidR="001C66B0" w:rsidRDefault="00D005FC">
      <w:pPr>
        <w:pStyle w:val="a6"/>
        <w:numPr>
          <w:ilvl w:val="0"/>
          <w:numId w:val="38"/>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lastRenderedPageBreak/>
        <w:t>审查建设单位过程管理行为，包括但不限于主体结构重大设计变更、变更手续；委托开展建筑物沉降观测、工程质量检测等行为；按规范要求组织质量验收（含分户验收）的行为；牵头整改并闭合风险管理机构提出的质量风险问题等行为。</w:t>
      </w:r>
    </w:p>
    <w:p w:rsidR="001C66B0" w:rsidRDefault="00D005FC">
      <w:pPr>
        <w:pStyle w:val="a6"/>
        <w:numPr>
          <w:ilvl w:val="0"/>
          <w:numId w:val="38"/>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审查施工单位、监理单位、分包单位、装配式预制构件厂家过程质量文件和记录报告，</w:t>
      </w:r>
      <w:r>
        <w:rPr>
          <w:rFonts w:asciiTheme="minorEastAsia" w:hAnsiTheme="minorEastAsia" w:cstheme="minorEastAsia"/>
          <w:bCs/>
        </w:rPr>
        <w:t>包括</w:t>
      </w:r>
      <w:r>
        <w:rPr>
          <w:rFonts w:asciiTheme="minorEastAsia" w:hAnsiTheme="minorEastAsia" w:cstheme="minorEastAsia" w:hint="eastAsia"/>
          <w:bCs/>
        </w:rPr>
        <w:t>但不限于参建单位</w:t>
      </w:r>
      <w:r>
        <w:rPr>
          <w:rFonts w:asciiTheme="minorEastAsia" w:hAnsiTheme="minorEastAsia" w:cstheme="minorEastAsia"/>
          <w:bCs/>
        </w:rPr>
        <w:t>的施工质量记录文件、工程检测及监测报告、工程变更文件、监理</w:t>
      </w:r>
      <w:r>
        <w:rPr>
          <w:rFonts w:asciiTheme="minorEastAsia" w:hAnsiTheme="minorEastAsia" w:cstheme="minorEastAsia" w:hint="eastAsia"/>
          <w:bCs/>
        </w:rPr>
        <w:t>例会、监理</w:t>
      </w:r>
      <w:r>
        <w:rPr>
          <w:rFonts w:asciiTheme="minorEastAsia" w:hAnsiTheme="minorEastAsia" w:cstheme="minorEastAsia"/>
          <w:bCs/>
        </w:rPr>
        <w:t>对本工程检查记录等</w:t>
      </w:r>
      <w:r>
        <w:rPr>
          <w:rFonts w:asciiTheme="minorEastAsia" w:hAnsiTheme="minorEastAsia" w:cstheme="minorEastAsia" w:hint="eastAsia"/>
          <w:bCs/>
        </w:rPr>
        <w:t>。</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实体</w:t>
      </w:r>
      <w:r>
        <w:rPr>
          <w:rFonts w:asciiTheme="minorEastAsia" w:hAnsiTheme="minorEastAsia" w:cstheme="minorEastAsia" w:hint="eastAsia"/>
          <w:bCs/>
        </w:rPr>
        <w:t>质量</w:t>
      </w:r>
      <w:r>
        <w:rPr>
          <w:rFonts w:asciiTheme="minorEastAsia" w:hAnsiTheme="minorEastAsia" w:cstheme="minorEastAsia"/>
          <w:bCs/>
        </w:rPr>
        <w:t>检查：</w:t>
      </w:r>
      <w:r>
        <w:rPr>
          <w:rFonts w:asciiTheme="minorEastAsia" w:hAnsiTheme="minorEastAsia" w:cstheme="minorEastAsia" w:hint="eastAsia"/>
          <w:bCs/>
        </w:rPr>
        <w:t>包括但不限于施工现场实体质量抽查、材料检查检测、功能性试验、施工过程检验检测资料，以及装配式预制构件厂家生产线检查。</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工序检查：对现场的施工工序进行检查，检查</w:t>
      </w:r>
      <w:r>
        <w:rPr>
          <w:rFonts w:asciiTheme="minorEastAsia" w:hAnsiTheme="minorEastAsia" w:cstheme="minorEastAsia" w:hint="eastAsia"/>
          <w:bCs/>
        </w:rPr>
        <w:t>含</w:t>
      </w:r>
      <w:r>
        <w:rPr>
          <w:rFonts w:asciiTheme="minorEastAsia" w:hAnsiTheme="minorEastAsia" w:cstheme="minorEastAsia"/>
          <w:bCs/>
        </w:rPr>
        <w:t>普通工序的抽查，</w:t>
      </w:r>
      <w:r>
        <w:rPr>
          <w:rFonts w:asciiTheme="minorEastAsia" w:hAnsiTheme="minorEastAsia" w:cstheme="minorEastAsia" w:hint="eastAsia"/>
          <w:bCs/>
        </w:rPr>
        <w:t>以及</w:t>
      </w:r>
      <w:r>
        <w:rPr>
          <w:rFonts w:asciiTheme="minorEastAsia" w:hAnsiTheme="minorEastAsia" w:cstheme="minorEastAsia"/>
          <w:bCs/>
        </w:rPr>
        <w:t>对特殊工序</w:t>
      </w:r>
      <w:r>
        <w:rPr>
          <w:rFonts w:asciiTheme="minorEastAsia" w:hAnsiTheme="minorEastAsia" w:cstheme="minorEastAsia" w:hint="eastAsia"/>
          <w:bCs/>
        </w:rPr>
        <w:t>的</w:t>
      </w:r>
      <w:r>
        <w:rPr>
          <w:rFonts w:asciiTheme="minorEastAsia" w:hAnsiTheme="minorEastAsia" w:cstheme="minorEastAsia"/>
          <w:bCs/>
        </w:rPr>
        <w:t>专项检查，尤其</w:t>
      </w:r>
      <w:r>
        <w:rPr>
          <w:rFonts w:asciiTheme="minorEastAsia" w:hAnsiTheme="minorEastAsia" w:cstheme="minorEastAsia" w:hint="eastAsia"/>
          <w:bCs/>
        </w:rPr>
        <w:t>加强</w:t>
      </w:r>
      <w:r>
        <w:rPr>
          <w:rFonts w:asciiTheme="minorEastAsia" w:hAnsiTheme="minorEastAsia" w:cstheme="minorEastAsia"/>
          <w:bCs/>
        </w:rPr>
        <w:t>对于隐蔽工程施工的过程检查。内容包括现场施工方法是否符合设计和施工规范的要求、工序的实施和验收是否合规、成品</w:t>
      </w:r>
      <w:r>
        <w:rPr>
          <w:rFonts w:asciiTheme="minorEastAsia" w:hAnsiTheme="minorEastAsia" w:cstheme="minorEastAsia" w:hint="eastAsia"/>
          <w:bCs/>
        </w:rPr>
        <w:t>保护</w:t>
      </w:r>
      <w:r>
        <w:rPr>
          <w:rFonts w:asciiTheme="minorEastAsia" w:hAnsiTheme="minorEastAsia" w:cstheme="minorEastAsia"/>
          <w:bCs/>
        </w:rPr>
        <w:t>是否到位等。</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一致性检查：实际施工和</w:t>
      </w:r>
      <w:r>
        <w:rPr>
          <w:rFonts w:asciiTheme="minorEastAsia" w:hAnsiTheme="minorEastAsia" w:cstheme="minorEastAsia" w:hint="eastAsia"/>
          <w:bCs/>
        </w:rPr>
        <w:t>设计图纸、</w:t>
      </w:r>
      <w:r>
        <w:rPr>
          <w:rFonts w:asciiTheme="minorEastAsia" w:hAnsiTheme="minorEastAsia" w:cstheme="minorEastAsia"/>
          <w:bCs/>
        </w:rPr>
        <w:t>施工方案一致性的检查；实际施工和</w:t>
      </w:r>
      <w:r>
        <w:rPr>
          <w:rFonts w:asciiTheme="minorEastAsia" w:hAnsiTheme="minorEastAsia" w:cstheme="minorEastAsia" w:hint="eastAsia"/>
          <w:bCs/>
        </w:rPr>
        <w:t>施工</w:t>
      </w:r>
      <w:r>
        <w:rPr>
          <w:rFonts w:asciiTheme="minorEastAsia" w:hAnsiTheme="minorEastAsia" w:cstheme="minorEastAsia"/>
          <w:bCs/>
        </w:rPr>
        <w:t>资料一致性</w:t>
      </w:r>
      <w:r>
        <w:rPr>
          <w:rFonts w:asciiTheme="minorEastAsia" w:hAnsiTheme="minorEastAsia" w:cstheme="minorEastAsia" w:hint="eastAsia"/>
          <w:bCs/>
        </w:rPr>
        <w:t>、同步性</w:t>
      </w:r>
      <w:r>
        <w:rPr>
          <w:rFonts w:asciiTheme="minorEastAsia" w:hAnsiTheme="minorEastAsia" w:cstheme="minorEastAsia"/>
          <w:bCs/>
        </w:rPr>
        <w:t>的检查；实际施工</w:t>
      </w:r>
      <w:r>
        <w:rPr>
          <w:rFonts w:asciiTheme="minorEastAsia" w:hAnsiTheme="minorEastAsia" w:cstheme="minorEastAsia" w:hint="eastAsia"/>
          <w:bCs/>
        </w:rPr>
        <w:t>与监理资料的一致性、同步性检查。</w:t>
      </w:r>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评估施工过程中的工程质量风险，每次过程检查后</w:t>
      </w:r>
      <w:r>
        <w:rPr>
          <w:rFonts w:asciiTheme="minorEastAsia" w:hAnsiTheme="minorEastAsia" w:cstheme="minorEastAsia"/>
          <w:bCs/>
        </w:rPr>
        <w:t>2</w:t>
      </w:r>
      <w:r>
        <w:rPr>
          <w:rFonts w:asciiTheme="minorEastAsia" w:hAnsiTheme="minorEastAsia" w:cstheme="minorEastAsia" w:hint="eastAsia"/>
          <w:bCs/>
        </w:rPr>
        <w:t>日内出具《R</w:t>
      </w:r>
      <w:r>
        <w:rPr>
          <w:rFonts w:asciiTheme="minorEastAsia" w:hAnsiTheme="minorEastAsia" w:cstheme="minorEastAsia"/>
          <w:bCs/>
        </w:rPr>
        <w:t>1</w:t>
      </w:r>
      <w:r>
        <w:rPr>
          <w:rFonts w:asciiTheme="minorEastAsia" w:hAnsiTheme="minorEastAsia" w:cstheme="minorEastAsia" w:hint="eastAsia"/>
          <w:bCs/>
        </w:rPr>
        <w:t>施工质量过程风险评估报告》（参考模板见附录E）提交保险公司</w:t>
      </w:r>
      <w:bookmarkStart w:id="48" w:name="_Hlk101684562"/>
      <w:r>
        <w:rPr>
          <w:rFonts w:asciiTheme="minorEastAsia" w:hAnsiTheme="minorEastAsia" w:cstheme="minorEastAsia" w:hint="eastAsia"/>
          <w:bCs/>
        </w:rPr>
        <w:t>，问题清单提交建设单位组织整改，并跟踪记录整改情况。</w:t>
      </w:r>
      <w:bookmarkEnd w:id="48"/>
    </w:p>
    <w:p w:rsidR="001C66B0" w:rsidRDefault="00D005FC">
      <w:pPr>
        <w:pStyle w:val="a6"/>
        <w:numPr>
          <w:ilvl w:val="0"/>
          <w:numId w:val="37"/>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根据工程进度节点情况，分别在地基基础、主体结构、装饰装修和安装工程完成后2</w:t>
      </w:r>
      <w:r>
        <w:rPr>
          <w:rFonts w:asciiTheme="minorEastAsia" w:hAnsiTheme="minorEastAsia" w:cstheme="minorEastAsia"/>
          <w:bCs/>
        </w:rPr>
        <w:t>0</w:t>
      </w:r>
      <w:r>
        <w:rPr>
          <w:rFonts w:asciiTheme="minorEastAsia" w:hAnsiTheme="minorEastAsia" w:cstheme="minorEastAsia" w:hint="eastAsia"/>
          <w:bCs/>
        </w:rPr>
        <w:t>日内，编制相应的专项施工风险评估报告提交保险公司。</w:t>
      </w:r>
    </w:p>
    <w:p w:rsidR="001C66B0" w:rsidRDefault="00D005FC">
      <w:pPr>
        <w:pStyle w:val="3"/>
      </w:pPr>
      <w:r>
        <w:rPr>
          <w:rFonts w:hint="eastAsia"/>
        </w:rPr>
        <w:t>施工阶段</w:t>
      </w:r>
      <w:bookmarkStart w:id="49" w:name="_Hlk101528450"/>
      <w:r>
        <w:rPr>
          <w:rFonts w:hint="eastAsia"/>
        </w:rPr>
        <w:t>的安全风险管理服务</w:t>
      </w:r>
      <w:bookmarkEnd w:id="49"/>
      <w:r>
        <w:rPr>
          <w:rFonts w:hint="eastAsia"/>
        </w:rPr>
        <w:t>应包括以下内容：</w:t>
      </w:r>
    </w:p>
    <w:p w:rsidR="001C66B0" w:rsidRDefault="00D005FC">
      <w:pPr>
        <w:pStyle w:val="a6"/>
        <w:numPr>
          <w:ilvl w:val="0"/>
          <w:numId w:val="39"/>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审查风险分级管控体系运行(安全管理行为</w:t>
      </w:r>
      <w:r>
        <w:rPr>
          <w:rFonts w:asciiTheme="minorEastAsia" w:hAnsiTheme="minorEastAsia" w:cstheme="minorEastAsia"/>
          <w:bCs/>
        </w:rPr>
        <w:t>)</w:t>
      </w:r>
      <w:r>
        <w:rPr>
          <w:rFonts w:asciiTheme="minorEastAsia" w:hAnsiTheme="minorEastAsia" w:cstheme="minorEastAsia" w:hint="eastAsia"/>
          <w:bCs/>
        </w:rPr>
        <w:t>，包括但不限于以下内容：</w:t>
      </w:r>
    </w:p>
    <w:p w:rsidR="001C66B0" w:rsidRDefault="00D005FC">
      <w:pPr>
        <w:pStyle w:val="a6"/>
        <w:numPr>
          <w:ilvl w:val="0"/>
          <w:numId w:val="40"/>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安全管控体系建立：审查施工单位风险分级管控组织机构、安全生产责任制建立及落实、双重风险治理制度建立及落实、安全教育、控制措施、应急预案等安全风险管理资料；对风险管控措施涉及的设备设施、现场布局、作业环境等方面进行现场检查，核实资料与现场运行情况的一致性。</w:t>
      </w:r>
    </w:p>
    <w:p w:rsidR="001C66B0" w:rsidRDefault="00D005FC">
      <w:pPr>
        <w:pStyle w:val="a6"/>
        <w:numPr>
          <w:ilvl w:val="0"/>
          <w:numId w:val="40"/>
        </w:numPr>
        <w:tabs>
          <w:tab w:val="left" w:pos="142"/>
        </w:tabs>
        <w:spacing w:line="360" w:lineRule="auto"/>
        <w:ind w:left="1134" w:rightChars="-34" w:right="-71" w:hanging="278"/>
        <w:jc w:val="left"/>
        <w:rPr>
          <w:rFonts w:asciiTheme="minorEastAsia" w:hAnsiTheme="minorEastAsia" w:cstheme="minorEastAsia"/>
          <w:bCs/>
          <w:color w:val="FF0000"/>
        </w:rPr>
      </w:pPr>
      <w:r>
        <w:rPr>
          <w:rFonts w:asciiTheme="minorEastAsia" w:hAnsiTheme="minorEastAsia" w:cstheme="minorEastAsia" w:hint="eastAsia"/>
          <w:bCs/>
        </w:rPr>
        <w:t>安全风险动态管理：审查施工单位根据施工现场安全条件、工程进度等变化对安全风险动态管控的落实情况；审查施工单位对风险管理机构发现的新增或升级的安全风险的动态管控情况。</w:t>
      </w:r>
    </w:p>
    <w:p w:rsidR="001C66B0" w:rsidRDefault="00D005FC">
      <w:pPr>
        <w:pStyle w:val="a6"/>
        <w:numPr>
          <w:ilvl w:val="0"/>
          <w:numId w:val="39"/>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生产安全事故隐患排查：开展生产安全事故隐患排查服务，发现安全隐患，提出整改建议，并跟踪隐患整改情况，包括但不限于以下内容：</w:t>
      </w:r>
    </w:p>
    <w:p w:rsidR="001C66B0" w:rsidRDefault="00D005FC">
      <w:pPr>
        <w:pStyle w:val="a6"/>
        <w:numPr>
          <w:ilvl w:val="0"/>
          <w:numId w:val="41"/>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资料检查：审查施工、分包单位安全生产许可证及安全人员资格情况；审查施工、监理单位的安全管理基础资料、安全管控过程资料、施工组织设计、专项施工方案、监理规划、安全监理方案、监理实施细则、监理周月报、监测方案及监测报告、安全生产标准化建设、教育培训、隐患排查治理资料等。</w:t>
      </w:r>
    </w:p>
    <w:p w:rsidR="001C66B0" w:rsidRDefault="00D005FC">
      <w:pPr>
        <w:pStyle w:val="a6"/>
        <w:numPr>
          <w:ilvl w:val="0"/>
          <w:numId w:val="41"/>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现场巡查：对现场脚手架、模板支架、基坑工程、高处作业、机械设备、施工用电、</w:t>
      </w:r>
      <w:r>
        <w:rPr>
          <w:rFonts w:asciiTheme="minorEastAsia" w:hAnsiTheme="minorEastAsia" w:cstheme="minorEastAsia" w:hint="eastAsia"/>
          <w:bCs/>
        </w:rPr>
        <w:lastRenderedPageBreak/>
        <w:t>安全防护、消防措施等进行安全隐患排查，</w:t>
      </w:r>
      <w:r>
        <w:rPr>
          <w:rFonts w:hint="eastAsia"/>
        </w:rPr>
        <w:t>并提出有针对性的安全隐患整改建议</w:t>
      </w:r>
      <w:r>
        <w:rPr>
          <w:rFonts w:asciiTheme="minorEastAsia" w:hAnsiTheme="minorEastAsia" w:cstheme="minorEastAsia" w:hint="eastAsia"/>
          <w:bCs/>
        </w:rPr>
        <w:t>。</w:t>
      </w:r>
    </w:p>
    <w:p w:rsidR="001C66B0" w:rsidRDefault="00D005FC">
      <w:pPr>
        <w:pStyle w:val="a6"/>
        <w:numPr>
          <w:ilvl w:val="0"/>
          <w:numId w:val="39"/>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评估施工过程中的工程安全风险，每次过程检查后2日内出具《A1施工安全过程风险评估报告》（参考模板见附录F）提交保险公司，问题清单提交建设单位组织整改，并跟踪记录整改情况。</w:t>
      </w:r>
    </w:p>
    <w:p w:rsidR="001C66B0" w:rsidRDefault="00D005FC">
      <w:pPr>
        <w:pStyle w:val="3"/>
        <w:rPr>
          <w:bCs/>
        </w:rPr>
      </w:pPr>
      <w:r>
        <w:rPr>
          <w:rFonts w:hint="eastAsia"/>
        </w:rPr>
        <w:t>建议针对风险分级结果对重大安全隐患进行现场交流</w:t>
      </w:r>
    </w:p>
    <w:p w:rsidR="001C66B0" w:rsidRDefault="00D005FC">
      <w:pPr>
        <w:pStyle w:val="2"/>
        <w:spacing w:before="120"/>
      </w:pPr>
      <w:bookmarkStart w:id="50" w:name="_Toc176713661"/>
      <w:r>
        <w:rPr>
          <w:rFonts w:hint="eastAsia"/>
        </w:rPr>
        <w:t>竣工阶段风险管理服务</w:t>
      </w:r>
      <w:bookmarkEnd w:id="50"/>
    </w:p>
    <w:p w:rsidR="001C66B0" w:rsidRDefault="00D005FC">
      <w:pPr>
        <w:pStyle w:val="3"/>
      </w:pPr>
      <w:r>
        <w:rPr>
          <w:rFonts w:hint="eastAsia"/>
        </w:rPr>
        <w:t>竣工阶段的质量风险管理服务应包括以下内容：</w:t>
      </w:r>
    </w:p>
    <w:p w:rsidR="001C66B0" w:rsidRDefault="00D005FC">
      <w:pPr>
        <w:pStyle w:val="a6"/>
        <w:numPr>
          <w:ilvl w:val="0"/>
          <w:numId w:val="42"/>
        </w:numPr>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根据投保项目竣工验收时间安排，竣工验收前</w:t>
      </w:r>
      <w:r>
        <w:rPr>
          <w:rFonts w:asciiTheme="minorEastAsia" w:hAnsiTheme="minorEastAsia" w:cstheme="minorEastAsia"/>
          <w:bCs/>
        </w:rPr>
        <w:t>20</w:t>
      </w:r>
      <w:r>
        <w:rPr>
          <w:rFonts w:asciiTheme="minorEastAsia" w:hAnsiTheme="minorEastAsia" w:cstheme="minorEastAsia" w:hint="eastAsia"/>
          <w:bCs/>
        </w:rPr>
        <w:t>日，对投保项目进行竣工质量检查。</w:t>
      </w:r>
    </w:p>
    <w:p w:rsidR="001C66B0" w:rsidRDefault="00D005FC">
      <w:pPr>
        <w:pStyle w:val="a6"/>
        <w:numPr>
          <w:ilvl w:val="0"/>
          <w:numId w:val="42"/>
        </w:numPr>
        <w:spacing w:line="360" w:lineRule="auto"/>
        <w:ind w:left="142" w:rightChars="-34" w:right="-71" w:firstLine="425"/>
        <w:rPr>
          <w:rFonts w:asciiTheme="minorEastAsia" w:hAnsiTheme="minorEastAsia" w:cstheme="minorEastAsia"/>
          <w:bCs/>
        </w:rPr>
      </w:pPr>
      <w:r>
        <w:rPr>
          <w:rFonts w:asciiTheme="minorEastAsia" w:hAnsiTheme="minorEastAsia" w:cstheme="minorEastAsia"/>
          <w:bCs/>
        </w:rPr>
        <w:t>风险管理机构</w:t>
      </w:r>
      <w:r>
        <w:rPr>
          <w:rFonts w:asciiTheme="minorEastAsia" w:hAnsiTheme="minorEastAsia" w:cstheme="minorEastAsia" w:hint="eastAsia"/>
          <w:bCs/>
        </w:rPr>
        <w:t>组织竣工验收检查应侧重于技术与质量层面，重点在于保险责任范围内的工程质量情况，对竣工检查和前期服务过程中发现的勘察设计、施工方面的质量问题和处置结果进行汇总评价，包括</w:t>
      </w:r>
      <w:r>
        <w:rPr>
          <w:rFonts w:asciiTheme="minorEastAsia" w:hAnsiTheme="minorEastAsia" w:cstheme="minorEastAsia"/>
          <w:bCs/>
        </w:rPr>
        <w:t>整改及销项</w:t>
      </w:r>
      <w:r>
        <w:rPr>
          <w:rFonts w:asciiTheme="minorEastAsia" w:hAnsiTheme="minorEastAsia" w:cstheme="minorEastAsia" w:hint="eastAsia"/>
          <w:bCs/>
        </w:rPr>
        <w:t>问题</w:t>
      </w:r>
      <w:r>
        <w:rPr>
          <w:rFonts w:asciiTheme="minorEastAsia" w:hAnsiTheme="minorEastAsia" w:cstheme="minorEastAsia"/>
          <w:bCs/>
        </w:rPr>
        <w:t>汇总、未销项问题（拒不整改或整改不</w:t>
      </w:r>
      <w:r>
        <w:rPr>
          <w:rFonts w:asciiTheme="minorEastAsia" w:hAnsiTheme="minorEastAsia" w:cstheme="minorEastAsia" w:hint="eastAsia"/>
          <w:bCs/>
        </w:rPr>
        <w:t>到位</w:t>
      </w:r>
      <w:r>
        <w:rPr>
          <w:rFonts w:asciiTheme="minorEastAsia" w:hAnsiTheme="minorEastAsia" w:cstheme="minorEastAsia"/>
          <w:bCs/>
        </w:rPr>
        <w:t>的）汇总、可能存在</w:t>
      </w:r>
      <w:r>
        <w:rPr>
          <w:rFonts w:asciiTheme="minorEastAsia" w:hAnsiTheme="minorEastAsia" w:cstheme="minorEastAsia" w:hint="eastAsia"/>
          <w:bCs/>
        </w:rPr>
        <w:t>问题</w:t>
      </w:r>
      <w:r>
        <w:rPr>
          <w:rFonts w:asciiTheme="minorEastAsia" w:hAnsiTheme="minorEastAsia" w:cstheme="minorEastAsia"/>
          <w:bCs/>
        </w:rPr>
        <w:t>的说明、需要进行无损检测和其他检测的建议项</w:t>
      </w:r>
      <w:r>
        <w:rPr>
          <w:rFonts w:asciiTheme="minorEastAsia" w:hAnsiTheme="minorEastAsia" w:cstheme="minorEastAsia" w:hint="eastAsia"/>
          <w:bCs/>
        </w:rPr>
        <w:t>等。</w:t>
      </w:r>
    </w:p>
    <w:p w:rsidR="001C66B0" w:rsidRDefault="00D005FC">
      <w:pPr>
        <w:pStyle w:val="a6"/>
        <w:numPr>
          <w:ilvl w:val="0"/>
          <w:numId w:val="42"/>
        </w:numPr>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评估投保项目的最终总体工程质量风险，在竣工验收前</w:t>
      </w:r>
      <w:r>
        <w:rPr>
          <w:rFonts w:asciiTheme="minorEastAsia" w:hAnsiTheme="minorEastAsia" w:cstheme="minorEastAsia"/>
          <w:bCs/>
        </w:rPr>
        <w:t>10</w:t>
      </w:r>
      <w:r>
        <w:rPr>
          <w:rFonts w:asciiTheme="minorEastAsia" w:hAnsiTheme="minorEastAsia" w:cstheme="minorEastAsia" w:hint="eastAsia"/>
          <w:bCs/>
        </w:rPr>
        <w:t>日</w:t>
      </w:r>
      <w:r>
        <w:rPr>
          <w:rFonts w:asciiTheme="minorEastAsia" w:hAnsiTheme="minorEastAsia" w:cstheme="minorEastAsia"/>
          <w:bCs/>
        </w:rPr>
        <w:t>出具</w:t>
      </w:r>
      <w:r>
        <w:rPr>
          <w:rFonts w:asciiTheme="minorEastAsia" w:hAnsiTheme="minorEastAsia" w:cstheme="minorEastAsia" w:hint="eastAsia"/>
          <w:bCs/>
        </w:rPr>
        <w:t>《R</w:t>
      </w:r>
      <w:r>
        <w:rPr>
          <w:rFonts w:asciiTheme="minorEastAsia" w:hAnsiTheme="minorEastAsia" w:cstheme="minorEastAsia"/>
          <w:bCs/>
        </w:rPr>
        <w:t>2竣工</w:t>
      </w:r>
      <w:r>
        <w:rPr>
          <w:rFonts w:asciiTheme="minorEastAsia" w:hAnsiTheme="minorEastAsia" w:cstheme="minorEastAsia" w:hint="eastAsia"/>
          <w:bCs/>
        </w:rPr>
        <w:t>质量</w:t>
      </w:r>
      <w:r>
        <w:rPr>
          <w:rFonts w:asciiTheme="minorEastAsia" w:hAnsiTheme="minorEastAsia" w:cstheme="minorEastAsia"/>
          <w:bCs/>
        </w:rPr>
        <w:t>风险评估报告</w:t>
      </w:r>
      <w:r>
        <w:rPr>
          <w:rFonts w:asciiTheme="minorEastAsia" w:hAnsiTheme="minorEastAsia" w:cstheme="minorEastAsia" w:hint="eastAsia"/>
          <w:bCs/>
        </w:rPr>
        <w:t>》</w:t>
      </w:r>
      <w:r>
        <w:rPr>
          <w:rFonts w:asciiTheme="minorEastAsia" w:hAnsiTheme="minorEastAsia" w:cstheme="minorEastAsia"/>
          <w:bCs/>
        </w:rPr>
        <w:t>提交保险公司</w:t>
      </w:r>
      <w:r>
        <w:rPr>
          <w:rFonts w:asciiTheme="minorEastAsia" w:hAnsiTheme="minorEastAsia" w:cstheme="minorEastAsia" w:hint="eastAsia"/>
          <w:bCs/>
        </w:rPr>
        <w:t>。</w:t>
      </w:r>
    </w:p>
    <w:p w:rsidR="001C66B0" w:rsidRDefault="00D005FC">
      <w:pPr>
        <w:pStyle w:val="a6"/>
        <w:numPr>
          <w:ilvl w:val="0"/>
          <w:numId w:val="42"/>
        </w:numPr>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保险公司向建设行政主管部门提交《R</w:t>
      </w:r>
      <w:r>
        <w:rPr>
          <w:rFonts w:asciiTheme="minorEastAsia" w:hAnsiTheme="minorEastAsia" w:cstheme="minorEastAsia"/>
          <w:bCs/>
        </w:rPr>
        <w:t>2竣工</w:t>
      </w:r>
      <w:r>
        <w:rPr>
          <w:rFonts w:asciiTheme="minorEastAsia" w:hAnsiTheme="minorEastAsia" w:cstheme="minorEastAsia" w:hint="eastAsia"/>
          <w:bCs/>
        </w:rPr>
        <w:t>质量</w:t>
      </w:r>
      <w:r>
        <w:rPr>
          <w:rFonts w:asciiTheme="minorEastAsia" w:hAnsiTheme="minorEastAsia" w:cstheme="minorEastAsia"/>
          <w:bCs/>
        </w:rPr>
        <w:t>风险评估报告</w:t>
      </w:r>
      <w:r>
        <w:rPr>
          <w:rFonts w:asciiTheme="minorEastAsia" w:hAnsiTheme="minorEastAsia" w:cstheme="minorEastAsia" w:hint="eastAsia"/>
          <w:bCs/>
        </w:rPr>
        <w:t>》，作为竣工验收的要件。</w:t>
      </w:r>
    </w:p>
    <w:p w:rsidR="001C66B0" w:rsidRDefault="00D005FC">
      <w:pPr>
        <w:pStyle w:val="3"/>
        <w:rPr>
          <w:bCs/>
        </w:rPr>
      </w:pPr>
      <w:r>
        <w:rPr>
          <w:rFonts w:hint="eastAsia"/>
          <w:bCs/>
        </w:rPr>
        <w:t>竣工验收前，《R2竣工质量风险评估报告》中列出的严重质量缺陷在竣工时没有得到实质性整改的，建设单位不得组织竣工验收。</w:t>
      </w:r>
    </w:p>
    <w:p w:rsidR="001C66B0" w:rsidRDefault="00D005FC">
      <w:pPr>
        <w:pStyle w:val="3"/>
      </w:pPr>
      <w:r>
        <w:rPr>
          <w:rFonts w:hint="eastAsia"/>
        </w:rPr>
        <w:t>竣工阶段的安全风险管理服务应包括以下内容：</w:t>
      </w:r>
    </w:p>
    <w:p w:rsidR="001C66B0" w:rsidRDefault="00D005FC">
      <w:pPr>
        <w:pStyle w:val="a6"/>
        <w:spacing w:line="360" w:lineRule="auto"/>
        <w:ind w:left="142" w:rightChars="-34" w:right="-71" w:firstLineChars="202" w:firstLine="424"/>
        <w:rPr>
          <w:rFonts w:asciiTheme="minorEastAsia" w:hAnsiTheme="minorEastAsia" w:cstheme="minorEastAsia"/>
          <w:bCs/>
        </w:rPr>
      </w:pPr>
      <w:r>
        <w:rPr>
          <w:rFonts w:asciiTheme="minorEastAsia" w:hAnsiTheme="minorEastAsia" w:cstheme="minorEastAsia" w:hint="eastAsia"/>
          <w:bCs/>
        </w:rPr>
        <w:t>竣工验收后2</w:t>
      </w:r>
      <w:r>
        <w:rPr>
          <w:rFonts w:asciiTheme="minorEastAsia" w:hAnsiTheme="minorEastAsia" w:cstheme="minorEastAsia"/>
          <w:bCs/>
        </w:rPr>
        <w:t>0</w:t>
      </w:r>
      <w:r>
        <w:rPr>
          <w:rFonts w:asciiTheme="minorEastAsia" w:hAnsiTheme="minorEastAsia" w:cstheme="minorEastAsia" w:hint="eastAsia"/>
          <w:bCs/>
        </w:rPr>
        <w:t>日内，</w:t>
      </w:r>
      <w:r>
        <w:rPr>
          <w:rFonts w:asciiTheme="minorEastAsia" w:hAnsiTheme="minorEastAsia" w:cstheme="minorEastAsia"/>
          <w:bCs/>
        </w:rPr>
        <w:t>风险管理机构</w:t>
      </w:r>
      <w:r>
        <w:rPr>
          <w:rFonts w:asciiTheme="minorEastAsia" w:hAnsiTheme="minorEastAsia" w:cstheme="minorEastAsia" w:hint="eastAsia"/>
          <w:bCs/>
        </w:rPr>
        <w:t>总结投保项目施工期间安全风险管理工作，出具《A</w:t>
      </w:r>
      <w:r>
        <w:rPr>
          <w:rFonts w:asciiTheme="minorEastAsia" w:hAnsiTheme="minorEastAsia" w:cstheme="minorEastAsia"/>
          <w:bCs/>
        </w:rPr>
        <w:t>2</w:t>
      </w:r>
      <w:r>
        <w:rPr>
          <w:rFonts w:asciiTheme="minorEastAsia" w:hAnsiTheme="minorEastAsia" w:cstheme="minorEastAsia" w:hint="eastAsia"/>
          <w:bCs/>
        </w:rPr>
        <w:t>安全管理服务总结报告》，评估各参建单位施工期间的安全管理情况，提交保险公司，为后期承保提供依据。</w:t>
      </w:r>
    </w:p>
    <w:p w:rsidR="001C66B0" w:rsidRDefault="00D005FC">
      <w:pPr>
        <w:pStyle w:val="2"/>
        <w:spacing w:before="120"/>
      </w:pPr>
      <w:bookmarkStart w:id="51" w:name="_Toc176713662"/>
      <w:r>
        <w:rPr>
          <w:rFonts w:hint="eastAsia"/>
        </w:rPr>
        <w:t>回访阶段风险管理服务</w:t>
      </w:r>
      <w:bookmarkEnd w:id="51"/>
    </w:p>
    <w:p w:rsidR="001C66B0" w:rsidRDefault="00D005FC">
      <w:pPr>
        <w:pStyle w:val="3"/>
      </w:pPr>
      <w:r>
        <w:rPr>
          <w:rFonts w:hint="eastAsia"/>
        </w:rPr>
        <w:t>召开回访期交底会。保险公司应在投保项目交付物业后</w:t>
      </w:r>
      <w:r>
        <w:t>2</w:t>
      </w:r>
      <w:r>
        <w:rPr>
          <w:rFonts w:hint="eastAsia"/>
        </w:rPr>
        <w:t>0日内组织回访期风险管理服务交底会，由风险管理机构向投保项目的物业公司进行回访期服务交底，建设单位、物业公司、施工单位应参加。回访期交底的内容应包括：</w:t>
      </w:r>
    </w:p>
    <w:p w:rsidR="001C66B0" w:rsidRDefault="00D005FC">
      <w:pPr>
        <w:pStyle w:val="a6"/>
        <w:numPr>
          <w:ilvl w:val="0"/>
          <w:numId w:val="43"/>
        </w:numPr>
        <w:tabs>
          <w:tab w:val="left" w:pos="142"/>
        </w:tabs>
        <w:spacing w:line="360" w:lineRule="auto"/>
        <w:ind w:left="851" w:rightChars="-34" w:right="-71" w:hanging="284"/>
        <w:rPr>
          <w:rFonts w:asciiTheme="minorEastAsia" w:hAnsiTheme="minorEastAsia" w:cstheme="minorEastAsia"/>
          <w:bCs/>
        </w:rPr>
      </w:pPr>
      <w:r>
        <w:rPr>
          <w:rFonts w:hint="eastAsia"/>
        </w:rPr>
        <w:t>向各方阐</w:t>
      </w:r>
      <w:r>
        <w:rPr>
          <w:rFonts w:asciiTheme="minorEastAsia" w:hAnsiTheme="minorEastAsia" w:cstheme="minorEastAsia" w:hint="eastAsia"/>
          <w:bCs/>
        </w:rPr>
        <w:t>明回访期风险管理的目的、依据、评估范围；</w:t>
      </w:r>
    </w:p>
    <w:p w:rsidR="001C66B0" w:rsidRDefault="00D005FC">
      <w:pPr>
        <w:pStyle w:val="a6"/>
        <w:numPr>
          <w:ilvl w:val="0"/>
          <w:numId w:val="4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介绍回访期风险管理服务团队及人员职责分工；</w:t>
      </w:r>
    </w:p>
    <w:p w:rsidR="001C66B0" w:rsidRDefault="00D005FC">
      <w:pPr>
        <w:pStyle w:val="a6"/>
        <w:numPr>
          <w:ilvl w:val="0"/>
          <w:numId w:val="4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告知回访期风险管理的服务内容、巡查计划、服务频次、工作流程；</w:t>
      </w:r>
    </w:p>
    <w:p w:rsidR="001C66B0" w:rsidRDefault="00D005FC">
      <w:pPr>
        <w:pStyle w:val="a6"/>
        <w:numPr>
          <w:ilvl w:val="0"/>
          <w:numId w:val="4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对投保项目竣工时遗留未处理质量问题进行告知；</w:t>
      </w:r>
    </w:p>
    <w:p w:rsidR="001C66B0" w:rsidRDefault="00D005FC">
      <w:pPr>
        <w:pStyle w:val="a6"/>
        <w:numPr>
          <w:ilvl w:val="0"/>
          <w:numId w:val="43"/>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明确需要建设单位、物业公司协调配合的相关事宜；</w:t>
      </w:r>
    </w:p>
    <w:p w:rsidR="001C66B0" w:rsidRDefault="00D005FC">
      <w:pPr>
        <w:pStyle w:val="a6"/>
        <w:numPr>
          <w:ilvl w:val="0"/>
          <w:numId w:val="43"/>
        </w:numPr>
        <w:tabs>
          <w:tab w:val="left" w:pos="142"/>
        </w:tabs>
        <w:spacing w:line="360" w:lineRule="auto"/>
        <w:ind w:left="851" w:rightChars="-34" w:right="-71" w:hanging="284"/>
      </w:pPr>
      <w:r>
        <w:rPr>
          <w:rFonts w:asciiTheme="minorEastAsia" w:hAnsiTheme="minorEastAsia" w:cstheme="minorEastAsia" w:hint="eastAsia"/>
          <w:bCs/>
        </w:rPr>
        <w:t>形成会议记</w:t>
      </w:r>
      <w:r>
        <w:rPr>
          <w:rFonts w:hint="eastAsia"/>
        </w:rPr>
        <w:t>录材料（包括会议纪要、签到表、会议照片等）。</w:t>
      </w:r>
    </w:p>
    <w:p w:rsidR="001C66B0" w:rsidRDefault="00D005FC">
      <w:pPr>
        <w:pStyle w:val="3"/>
      </w:pPr>
      <w:r>
        <w:rPr>
          <w:rFonts w:hint="eastAsia"/>
        </w:rPr>
        <w:t>召开回访期交底会后，风险管理机构应按照巡查计划实施回访期质量巡查服务，频次不低于每季度1次，发生特大暴雨、台风等极端天气后应在3日内增加针对性的防渗漏、防脱落</w:t>
      </w:r>
      <w:r>
        <w:rPr>
          <w:rFonts w:hint="eastAsia"/>
        </w:rPr>
        <w:lastRenderedPageBreak/>
        <w:t>等检查。</w:t>
      </w:r>
    </w:p>
    <w:p w:rsidR="001C66B0" w:rsidRDefault="00D005FC">
      <w:pPr>
        <w:pStyle w:val="3"/>
      </w:pPr>
      <w:r>
        <w:rPr>
          <w:rFonts w:hint="eastAsia"/>
        </w:rPr>
        <w:t>回访阶段的风险管理服务应包括以下内容：</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对已竣工投入使用的保险标的质量情况进行实地回访检查。</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配合建设行政主管部门，对投保项目保险承保范围内的房屋质量投诉问题进行现场技术调查、质量问题原因分析，提出技术处置建议，配合建设行政主管部门协调督促相关责任单位整改，跟踪整改情况，并进行记录。</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根据质量投诉的情况，对频繁出现的同类质量问题，进行同类部位预防性现场检查或业主专项问卷调查，及时发现潜在问题，分析原因并督促责任单位采取处理措施。</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跟踪竣工时遗留未处理质量问题的处理和风险变化情况；</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实施回访定期现场检查，内容包括：</w:t>
      </w:r>
    </w:p>
    <w:p w:rsidR="001C66B0" w:rsidRDefault="00D005FC">
      <w:pPr>
        <w:pStyle w:val="a6"/>
        <w:numPr>
          <w:ilvl w:val="0"/>
          <w:numId w:val="45"/>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资料检查：房屋沉降监测记录；物业公司对业主质量问题的处理和维修记录；设施设备按要求维护保养的记录。</w:t>
      </w:r>
    </w:p>
    <w:p w:rsidR="001C66B0" w:rsidRDefault="00D005FC">
      <w:pPr>
        <w:pStyle w:val="a6"/>
        <w:numPr>
          <w:ilvl w:val="0"/>
          <w:numId w:val="45"/>
        </w:numPr>
        <w:tabs>
          <w:tab w:val="left" w:pos="142"/>
        </w:tabs>
        <w:spacing w:line="360" w:lineRule="auto"/>
        <w:ind w:left="1134" w:rightChars="-34" w:right="-71" w:hanging="278"/>
        <w:jc w:val="left"/>
        <w:rPr>
          <w:rFonts w:asciiTheme="minorEastAsia" w:hAnsiTheme="minorEastAsia" w:cstheme="minorEastAsia"/>
          <w:bCs/>
        </w:rPr>
      </w:pPr>
      <w:r>
        <w:rPr>
          <w:rFonts w:asciiTheme="minorEastAsia" w:hAnsiTheme="minorEastAsia" w:cstheme="minorEastAsia" w:hint="eastAsia"/>
          <w:bCs/>
        </w:rPr>
        <w:t>现场巡查：现场检查渗漏、开裂、脱落、破损等情况，特别是公共区域的质量问题等；用户是否正常使用建筑产品的情况。</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风险管理机构每季度汇总通过质量投诉技术调查和现场检查暴露出的质量问题和处理情况，每季度初1</w:t>
      </w:r>
      <w:r>
        <w:rPr>
          <w:rFonts w:asciiTheme="minorEastAsia" w:hAnsiTheme="minorEastAsia" w:cstheme="minorEastAsia"/>
          <w:bCs/>
        </w:rPr>
        <w:t>0</w:t>
      </w:r>
      <w:r>
        <w:rPr>
          <w:rFonts w:asciiTheme="minorEastAsia" w:hAnsiTheme="minorEastAsia" w:cstheme="minorEastAsia" w:hint="eastAsia"/>
          <w:bCs/>
        </w:rPr>
        <w:t>日内出具上季度《R</w:t>
      </w:r>
      <w:r>
        <w:rPr>
          <w:rFonts w:asciiTheme="minorEastAsia" w:hAnsiTheme="minorEastAsia" w:cstheme="minorEastAsia"/>
          <w:bCs/>
        </w:rPr>
        <w:t>3</w:t>
      </w:r>
      <w:r>
        <w:rPr>
          <w:rFonts w:asciiTheme="minorEastAsia" w:hAnsiTheme="minorEastAsia" w:cstheme="minorEastAsia" w:hint="eastAsia"/>
          <w:bCs/>
        </w:rPr>
        <w:t>回访期过程评估报告》提交保险公司，问题清单提交建设单位组织整改。</w:t>
      </w:r>
    </w:p>
    <w:p w:rsidR="001C66B0" w:rsidRDefault="00D005FC">
      <w:pPr>
        <w:pStyle w:val="a6"/>
        <w:numPr>
          <w:ilvl w:val="0"/>
          <w:numId w:val="44"/>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回访期结束前3</w:t>
      </w:r>
      <w:r>
        <w:rPr>
          <w:rFonts w:asciiTheme="minorEastAsia" w:hAnsiTheme="minorEastAsia" w:cstheme="minorEastAsia"/>
          <w:bCs/>
        </w:rPr>
        <w:t>0</w:t>
      </w:r>
      <w:r>
        <w:rPr>
          <w:rFonts w:asciiTheme="minorEastAsia" w:hAnsiTheme="minorEastAsia" w:cstheme="minorEastAsia" w:hint="eastAsia"/>
          <w:bCs/>
        </w:rPr>
        <w:t>日，风险管理机构对保险标的进行最后风险检查，汇总竣工遗留未处理问题和回访阶段新暴露出的质量问题及处理结果，评估其风险情况，出具《R</w:t>
      </w:r>
      <w:r>
        <w:rPr>
          <w:rFonts w:asciiTheme="minorEastAsia" w:hAnsiTheme="minorEastAsia" w:cstheme="minorEastAsia"/>
          <w:bCs/>
        </w:rPr>
        <w:t>4</w:t>
      </w:r>
      <w:r>
        <w:rPr>
          <w:rFonts w:asciiTheme="minorEastAsia" w:hAnsiTheme="minorEastAsia" w:cstheme="minorEastAsia" w:hint="eastAsia"/>
          <w:bCs/>
        </w:rPr>
        <w:t>最终检查评估报告》提交保险公司，对地基基础和主体结构、防水保温、装修装修等分别出具专项的回访期评估报告。并做专题汇报。</w:t>
      </w:r>
    </w:p>
    <w:p w:rsidR="001C66B0" w:rsidRDefault="00D005FC">
      <w:pPr>
        <w:pStyle w:val="3"/>
        <w:rPr>
          <w:bCs/>
        </w:rPr>
      </w:pPr>
      <w:r>
        <w:rPr>
          <w:rFonts w:hint="eastAsia"/>
          <w:bCs/>
        </w:rPr>
        <w:t>回访期结束前，《R4 回访期最终风险评估报告》中列出的已发现但未整改完成的问题，应由建设单位组织维修，整改后由风险管理机构确认整改情况。保险公司以《R2 竣工质量风险评估报告》、《R4 回访期最终风险评估报告》作为后期理赔依据。</w:t>
      </w:r>
    </w:p>
    <w:p w:rsidR="001C66B0" w:rsidRDefault="00D005FC">
      <w:pPr>
        <w:pStyle w:val="2"/>
        <w:spacing w:before="120"/>
      </w:pPr>
      <w:bookmarkStart w:id="52" w:name="_Toc176713663"/>
      <w:r>
        <w:rPr>
          <w:rFonts w:hint="eastAsia"/>
        </w:rPr>
        <w:t>整改跟踪管理</w:t>
      </w:r>
      <w:bookmarkEnd w:id="52"/>
    </w:p>
    <w:p w:rsidR="001C66B0" w:rsidRDefault="00D005FC">
      <w:pPr>
        <w:pStyle w:val="3"/>
      </w:pPr>
      <w:r>
        <w:rPr>
          <w:rFonts w:hint="eastAsia"/>
        </w:rPr>
        <w:t>风险管理服务各个阶段中发现的质量问题和安全隐患，均应实施动态跟踪管理。</w:t>
      </w:r>
    </w:p>
    <w:p w:rsidR="001C66B0" w:rsidRDefault="00D005FC">
      <w:pPr>
        <w:pStyle w:val="3"/>
        <w:rPr>
          <w:bCs/>
        </w:rPr>
      </w:pPr>
      <w:r>
        <w:rPr>
          <w:rFonts w:hint="eastAsia"/>
          <w:bCs/>
        </w:rPr>
        <w:t>对每次检查发现</w:t>
      </w:r>
      <w:r>
        <w:rPr>
          <w:bCs/>
        </w:rPr>
        <w:t>质量</w:t>
      </w:r>
      <w:r>
        <w:rPr>
          <w:rFonts w:hint="eastAsia"/>
          <w:bCs/>
        </w:rPr>
        <w:t>问题和安全隐患</w:t>
      </w:r>
      <w:r>
        <w:rPr>
          <w:bCs/>
        </w:rPr>
        <w:t>，</w:t>
      </w:r>
      <w:r>
        <w:rPr>
          <w:rFonts w:hint="eastAsia"/>
          <w:bCs/>
        </w:rPr>
        <w:t>风险管理机构应将问题描述、问题照片、影像资料和整改建议等形成问题清单（参考模板见附录G），并在检查后及时将问题清单提交保险公司及建设单位。</w:t>
      </w:r>
    </w:p>
    <w:p w:rsidR="001C66B0" w:rsidRDefault="00D005FC">
      <w:pPr>
        <w:pStyle w:val="3"/>
        <w:rPr>
          <w:bCs/>
        </w:rPr>
      </w:pPr>
      <w:r>
        <w:rPr>
          <w:rFonts w:hint="eastAsia"/>
          <w:bCs/>
        </w:rPr>
        <w:t>建设单位负责牵头督促责任单位积极配合整改，应在要求的时限内将整改结果、整改影像资料等书面回复风险管理机构复核。</w:t>
      </w:r>
    </w:p>
    <w:p w:rsidR="001C66B0" w:rsidRDefault="00D005FC">
      <w:pPr>
        <w:pStyle w:val="3"/>
        <w:rPr>
          <w:bCs/>
        </w:rPr>
      </w:pPr>
      <w:r>
        <w:rPr>
          <w:rFonts w:hint="eastAsia"/>
          <w:bCs/>
        </w:rPr>
        <w:t>风险管理机构应保持</w:t>
      </w:r>
      <w:r>
        <w:rPr>
          <w:bCs/>
        </w:rPr>
        <w:t>与</w:t>
      </w:r>
      <w:r>
        <w:rPr>
          <w:rFonts w:hint="eastAsia"/>
          <w:bCs/>
        </w:rPr>
        <w:t>投保项目</w:t>
      </w:r>
      <w:r>
        <w:rPr>
          <w:bCs/>
        </w:rPr>
        <w:t>的沟通，</w:t>
      </w:r>
      <w:r>
        <w:rPr>
          <w:rFonts w:hint="eastAsia"/>
          <w:bCs/>
        </w:rPr>
        <w:t>持续跟踪</w:t>
      </w:r>
      <w:r>
        <w:rPr>
          <w:bCs/>
        </w:rPr>
        <w:t>整改情况，</w:t>
      </w:r>
      <w:r>
        <w:rPr>
          <w:rFonts w:hint="eastAsia"/>
          <w:bCs/>
        </w:rPr>
        <w:t>并采取现场复查或影像资料比对等方式核实、评估和</w:t>
      </w:r>
      <w:r>
        <w:rPr>
          <w:bCs/>
        </w:rPr>
        <w:t>记录</w:t>
      </w:r>
      <w:r>
        <w:rPr>
          <w:rFonts w:hint="eastAsia"/>
          <w:bCs/>
        </w:rPr>
        <w:t>整改结果</w:t>
      </w:r>
      <w:r>
        <w:rPr>
          <w:bCs/>
        </w:rPr>
        <w:t>，</w:t>
      </w:r>
      <w:r>
        <w:rPr>
          <w:rFonts w:hint="eastAsia"/>
          <w:bCs/>
        </w:rPr>
        <w:t>对已整改的，应在评估合格后进行销项；对未整改</w:t>
      </w:r>
      <w:r>
        <w:rPr>
          <w:rFonts w:hint="eastAsia"/>
          <w:bCs/>
        </w:rPr>
        <w:lastRenderedPageBreak/>
        <w:t>的或整改不彻底的，应增加复查项目继续跟踪；对已隐蔽且不能提供证明材料的，应视为未整改。</w:t>
      </w:r>
    </w:p>
    <w:p w:rsidR="001C66B0" w:rsidRDefault="00D005FC">
      <w:pPr>
        <w:pStyle w:val="3"/>
      </w:pPr>
      <w:r>
        <w:rPr>
          <w:rFonts w:hint="eastAsia"/>
        </w:rPr>
        <w:t>设计问题整改情况的跟踪应1个月1次，设计问题的整改，由设计单位在相关部位实际施工前出具合格的设计变更资料，并由施工单位按照变更后的设计文件施工合格后，方可进行销项；</w:t>
      </w:r>
      <w:r>
        <w:rPr>
          <w:rFonts w:hint="eastAsia"/>
          <w:bCs/>
        </w:rPr>
        <w:t>对已按原问题设计文件施工</w:t>
      </w:r>
      <w:r>
        <w:rPr>
          <w:rFonts w:hint="eastAsia"/>
        </w:rPr>
        <w:t>的，应视为未整改。</w:t>
      </w:r>
    </w:p>
    <w:p w:rsidR="001C66B0" w:rsidRDefault="00D005FC">
      <w:pPr>
        <w:pStyle w:val="3"/>
        <w:rPr>
          <w:bCs/>
        </w:rPr>
      </w:pPr>
      <w:r>
        <w:rPr>
          <w:rFonts w:hint="eastAsia"/>
          <w:bCs/>
        </w:rPr>
        <w:t>投保项目</w:t>
      </w:r>
      <w:r>
        <w:rPr>
          <w:bCs/>
        </w:rPr>
        <w:t>拒不整改或整改</w:t>
      </w:r>
      <w:r>
        <w:rPr>
          <w:rFonts w:hint="eastAsia"/>
          <w:bCs/>
        </w:rPr>
        <w:t>不到位</w:t>
      </w:r>
      <w:r>
        <w:rPr>
          <w:bCs/>
        </w:rPr>
        <w:t>的，风险管理机构应对处理过程和处理结果进行记录，</w:t>
      </w:r>
      <w:r>
        <w:rPr>
          <w:rFonts w:hint="eastAsia"/>
          <w:bCs/>
        </w:rPr>
        <w:t>及时上报保险公司，</w:t>
      </w:r>
      <w:r>
        <w:rPr>
          <w:bCs/>
        </w:rPr>
        <w:t>并</w:t>
      </w:r>
      <w:r>
        <w:rPr>
          <w:rFonts w:hint="eastAsia"/>
          <w:bCs/>
        </w:rPr>
        <w:t>在风险评估报告中予以说明，留档备查。</w:t>
      </w:r>
    </w:p>
    <w:p w:rsidR="001C66B0" w:rsidRDefault="00D005FC">
      <w:pPr>
        <w:pStyle w:val="3"/>
      </w:pPr>
      <w:r>
        <w:rPr>
          <w:rFonts w:asciiTheme="minorHAnsi" w:hAnsiTheme="minorHAnsi" w:cstheme="minorBidi" w:hint="eastAsia"/>
        </w:rPr>
        <w:t>保险公司</w:t>
      </w:r>
      <w:r>
        <w:rPr>
          <w:rFonts w:hint="eastAsia"/>
          <w:bCs/>
        </w:rPr>
        <w:t>应在勘察设计、施工、竣工、回访各个阶段全程掌握投保项目质量安全风险管理情况，协调建设单位组织整改</w:t>
      </w:r>
      <w:r>
        <w:rPr>
          <w:rFonts w:hint="eastAsia"/>
        </w:rPr>
        <w:t>。</w:t>
      </w:r>
    </w:p>
    <w:p w:rsidR="001C66B0" w:rsidRDefault="00D005FC">
      <w:pPr>
        <w:pStyle w:val="3"/>
        <w:rPr>
          <w:bCs/>
        </w:rPr>
      </w:pPr>
      <w:r>
        <w:rPr>
          <w:rFonts w:hint="eastAsia"/>
          <w:bCs/>
        </w:rPr>
        <w:t>风险管理服务</w:t>
      </w:r>
      <w:r>
        <w:rPr>
          <w:rFonts w:hint="eastAsia"/>
        </w:rPr>
        <w:t>发现的质量问题和安全隐患，各责任方</w:t>
      </w:r>
      <w:r>
        <w:rPr>
          <w:rFonts w:hint="eastAsia"/>
          <w:bCs/>
        </w:rPr>
        <w:t>应根据相关要求及时在</w:t>
      </w:r>
      <w:r>
        <w:rPr>
          <w:rFonts w:hint="eastAsia"/>
        </w:rPr>
        <w:t>信息管理平台</w:t>
      </w:r>
      <w:r>
        <w:rPr>
          <w:rFonts w:hint="eastAsia"/>
          <w:bCs/>
        </w:rPr>
        <w:t>上进行问题上传、整改回复、整改复核、销项等，实现全过程信息化管理。</w:t>
      </w:r>
    </w:p>
    <w:p w:rsidR="001C66B0" w:rsidRDefault="00D005FC">
      <w:pPr>
        <w:tabs>
          <w:tab w:val="left" w:pos="142"/>
        </w:tabs>
        <w:spacing w:line="400" w:lineRule="exact"/>
        <w:ind w:rightChars="-34" w:right="-71" w:firstLineChars="200" w:firstLine="420"/>
        <w:jc w:val="left"/>
        <w:rPr>
          <w:rFonts w:asciiTheme="minorEastAsia" w:hAnsiTheme="minorEastAsia" w:cstheme="minorEastAsia"/>
          <w:bCs/>
        </w:rPr>
      </w:pPr>
      <w:r>
        <w:rPr>
          <w:rFonts w:asciiTheme="minorEastAsia" w:hAnsiTheme="minorEastAsia" w:cstheme="minorEastAsia"/>
          <w:bCs/>
        </w:rPr>
        <w:br w:type="page"/>
      </w:r>
    </w:p>
    <w:p w:rsidR="001C66B0" w:rsidRDefault="00D005FC">
      <w:pPr>
        <w:pStyle w:val="1"/>
      </w:pPr>
      <w:bookmarkStart w:id="53" w:name="_Toc176713664"/>
      <w:r>
        <w:rPr>
          <w:rFonts w:hint="eastAsia"/>
        </w:rPr>
        <w:lastRenderedPageBreak/>
        <w:t>风险管理评估报告体系</w:t>
      </w:r>
      <w:bookmarkEnd w:id="53"/>
    </w:p>
    <w:p w:rsidR="001C66B0" w:rsidRDefault="00D005FC">
      <w:pPr>
        <w:pStyle w:val="2"/>
        <w:spacing w:before="120"/>
      </w:pPr>
      <w:bookmarkStart w:id="54" w:name="_Toc176713665"/>
      <w:r>
        <w:rPr>
          <w:rFonts w:hint="eastAsia"/>
        </w:rPr>
        <w:t>一般规定</w:t>
      </w:r>
      <w:bookmarkEnd w:id="54"/>
    </w:p>
    <w:p w:rsidR="001C66B0" w:rsidRDefault="00D005FC">
      <w:pPr>
        <w:pStyle w:val="3"/>
      </w:pPr>
      <w:r>
        <w:rPr>
          <w:rFonts w:hint="eastAsia"/>
        </w:rPr>
        <w:t xml:space="preserve"> 建筑工程质量安全综合保险的风险管理服务应建立评估报告体系，按投保项目实施进程，分阶段、分专业编制风险评估报告。</w:t>
      </w:r>
    </w:p>
    <w:p w:rsidR="001C66B0" w:rsidRDefault="00D005FC">
      <w:pPr>
        <w:pStyle w:val="3"/>
      </w:pPr>
      <w:r>
        <w:rPr>
          <w:rFonts w:hint="eastAsia"/>
        </w:rPr>
        <w:t xml:space="preserve"> </w:t>
      </w:r>
      <w:r>
        <w:t>风险管理机构应</w:t>
      </w:r>
      <w:r>
        <w:rPr>
          <w:rFonts w:hint="eastAsia"/>
        </w:rPr>
        <w:t>根据收集的工程资料，结合现场检查情况，根据</w:t>
      </w:r>
      <w:r>
        <w:t>项目具体特点列出</w:t>
      </w:r>
      <w:r>
        <w:rPr>
          <w:rFonts w:hint="eastAsia"/>
        </w:rPr>
        <w:t>应</w:t>
      </w:r>
      <w:r>
        <w:t>检查的</w:t>
      </w:r>
      <w:r>
        <w:rPr>
          <w:rFonts w:hint="eastAsia"/>
        </w:rPr>
        <w:t>重点关注质量、安全</w:t>
      </w:r>
      <w:r>
        <w:t>风险点项</w:t>
      </w:r>
      <w:r>
        <w:rPr>
          <w:rFonts w:hint="eastAsia"/>
        </w:rPr>
        <w:t>（可参考附录B、附录C）</w:t>
      </w:r>
      <w:r>
        <w:t>，</w:t>
      </w:r>
      <w:r>
        <w:rPr>
          <w:rFonts w:hint="eastAsia"/>
        </w:rPr>
        <w:t>针对性的</w:t>
      </w:r>
      <w:r>
        <w:t>编制风险</w:t>
      </w:r>
      <w:r>
        <w:rPr>
          <w:rFonts w:hint="eastAsia"/>
        </w:rPr>
        <w:t>评估</w:t>
      </w:r>
      <w:r>
        <w:t>报告</w:t>
      </w:r>
      <w:r>
        <w:rPr>
          <w:rFonts w:hint="eastAsia"/>
        </w:rPr>
        <w:t>。</w:t>
      </w:r>
    </w:p>
    <w:p w:rsidR="001C66B0" w:rsidRDefault="00D005FC">
      <w:pPr>
        <w:pStyle w:val="3"/>
      </w:pPr>
      <w:r>
        <w:rPr>
          <w:rFonts w:hint="eastAsia"/>
        </w:rPr>
        <w:t xml:space="preserve"> </w:t>
      </w:r>
      <w:r>
        <w:t>风险管理机构各阶段</w:t>
      </w:r>
      <w:r>
        <w:rPr>
          <w:rFonts w:hint="eastAsia"/>
        </w:rPr>
        <w:t>出具的评估</w:t>
      </w:r>
      <w:r>
        <w:t>报告中</w:t>
      </w:r>
      <w:r>
        <w:rPr>
          <w:rFonts w:hint="eastAsia"/>
        </w:rPr>
        <w:t>均应附问题</w:t>
      </w:r>
      <w:r>
        <w:t>清单，详细描述检查中发现的风险事项。</w:t>
      </w:r>
    </w:p>
    <w:p w:rsidR="001C66B0" w:rsidRDefault="00D005FC">
      <w:pPr>
        <w:pStyle w:val="3"/>
        <w:rPr>
          <w:bCs/>
        </w:rPr>
      </w:pPr>
      <w:r>
        <w:rPr>
          <w:rFonts w:hint="eastAsia"/>
          <w:bCs/>
        </w:rPr>
        <w:t xml:space="preserve"> 风险管理机构应</w:t>
      </w:r>
      <w:r>
        <w:rPr>
          <w:rFonts w:hint="eastAsia"/>
        </w:rPr>
        <w:t>对出具的评估报告建立内部审核、审批机制，施工阶段、回访阶段过程风险评估报告</w:t>
      </w:r>
      <w:r>
        <w:rPr>
          <w:rFonts w:hint="eastAsia"/>
          <w:bCs/>
        </w:rPr>
        <w:t>应由风险管理机构项目经理对报告进行审批，阶段性报告、竣工评估报告、最终评估报告等重要节点和针对重大风险点的评估报告应由风险管理机构总工程师进行审批，所有报告均需由编写、审核、审批人员签名并加盖单位印章。</w:t>
      </w:r>
    </w:p>
    <w:p w:rsidR="001C66B0" w:rsidRDefault="00D005FC">
      <w:pPr>
        <w:pStyle w:val="3"/>
      </w:pPr>
      <w:r>
        <w:rPr>
          <w:rFonts w:hint="eastAsia"/>
        </w:rPr>
        <w:t xml:space="preserve"> 风险管理服务机构出具的评估报告不应撤回、变更，确需撤回、变更的应向保险公司提交书面说明并征得同意。</w:t>
      </w:r>
    </w:p>
    <w:p w:rsidR="001C66B0" w:rsidRDefault="00D005FC">
      <w:pPr>
        <w:pStyle w:val="3"/>
      </w:pPr>
      <w:r>
        <w:rPr>
          <w:rFonts w:hint="eastAsia"/>
        </w:rPr>
        <w:t xml:space="preserve"> 风险管理服务机构应在评估报告出具后3日内将报告上传至信息管理平台。</w:t>
      </w:r>
    </w:p>
    <w:p w:rsidR="001C66B0" w:rsidRDefault="00D005FC">
      <w:pPr>
        <w:pStyle w:val="2"/>
        <w:spacing w:before="120"/>
      </w:pPr>
      <w:bookmarkStart w:id="55" w:name="_Toc176713666"/>
      <w:r>
        <w:rPr>
          <w:rFonts w:hint="eastAsia"/>
        </w:rPr>
        <w:t>报告名称和基本内容</w:t>
      </w:r>
      <w:bookmarkEnd w:id="55"/>
    </w:p>
    <w:p w:rsidR="001C66B0" w:rsidRDefault="00D005FC">
      <w:pPr>
        <w:pStyle w:val="3"/>
      </w:pPr>
      <w:r>
        <w:rPr>
          <w:rFonts w:hint="eastAsia"/>
        </w:rPr>
        <w:t xml:space="preserve"> 风险管理机构在勘察设计阶段、施工阶段、竣工阶段、回访阶段编写的风险评估报告名称和基本内容应符合表7.</w:t>
      </w:r>
      <w:r>
        <w:t>2</w:t>
      </w:r>
      <w:r>
        <w:rPr>
          <w:rFonts w:hint="eastAsia"/>
        </w:rPr>
        <w:t>.</w:t>
      </w:r>
      <w:r>
        <w:t>1</w:t>
      </w:r>
      <w:r>
        <w:rPr>
          <w:rFonts w:hint="eastAsia"/>
        </w:rPr>
        <w:t>的规定。</w:t>
      </w:r>
    </w:p>
    <w:p w:rsidR="001C66B0" w:rsidRDefault="00D005FC">
      <w:pPr>
        <w:pStyle w:val="Style376"/>
        <w:spacing w:line="360" w:lineRule="auto"/>
        <w:ind w:firstLineChars="0" w:firstLine="0"/>
        <w:jc w:val="center"/>
        <w:rPr>
          <w:rFonts w:ascii="宋体" w:hAnsi="宋体"/>
          <w:b/>
          <w:bCs/>
          <w:szCs w:val="21"/>
        </w:rPr>
      </w:pPr>
      <w:r>
        <w:rPr>
          <w:rFonts w:ascii="宋体" w:hAnsi="宋体" w:hint="eastAsia"/>
          <w:b/>
          <w:bCs/>
          <w:szCs w:val="21"/>
        </w:rPr>
        <w:t>表7.</w:t>
      </w:r>
      <w:r>
        <w:rPr>
          <w:rFonts w:ascii="宋体" w:hAnsi="宋体"/>
          <w:b/>
          <w:bCs/>
          <w:szCs w:val="21"/>
        </w:rPr>
        <w:t>2</w:t>
      </w:r>
      <w:r>
        <w:rPr>
          <w:rFonts w:ascii="宋体" w:hAnsi="宋体" w:hint="eastAsia"/>
          <w:b/>
          <w:bCs/>
          <w:szCs w:val="21"/>
        </w:rPr>
        <w:t>.</w:t>
      </w:r>
      <w:r>
        <w:rPr>
          <w:rFonts w:ascii="宋体" w:hAnsi="宋体"/>
          <w:b/>
          <w:bCs/>
          <w:szCs w:val="21"/>
        </w:rPr>
        <w:t xml:space="preserve">1 </w:t>
      </w:r>
      <w:r>
        <w:rPr>
          <w:rFonts w:ascii="宋体" w:hAnsi="宋体" w:hint="eastAsia"/>
          <w:b/>
          <w:bCs/>
          <w:szCs w:val="21"/>
        </w:rPr>
        <w:t>风险评估报告名称和基本内容表</w:t>
      </w:r>
    </w:p>
    <w:tbl>
      <w:tblPr>
        <w:tblW w:w="92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694"/>
        <w:gridCol w:w="851"/>
        <w:gridCol w:w="1842"/>
        <w:gridCol w:w="4679"/>
        <w:gridCol w:w="1134"/>
      </w:tblGrid>
      <w:tr w:rsidR="001C66B0">
        <w:trPr>
          <w:cantSplit/>
          <w:trHeight w:val="353"/>
          <w:tblHeader/>
          <w:jc w:val="center"/>
        </w:trPr>
        <w:tc>
          <w:tcPr>
            <w:tcW w:w="69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施工阶段</w:t>
            </w:r>
          </w:p>
        </w:tc>
        <w:tc>
          <w:tcPr>
            <w:tcW w:w="851"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w:t>
            </w:r>
          </w:p>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类型</w:t>
            </w:r>
          </w:p>
        </w:tc>
        <w:tc>
          <w:tcPr>
            <w:tcW w:w="1842"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报告名称</w:t>
            </w:r>
          </w:p>
        </w:tc>
        <w:tc>
          <w:tcPr>
            <w:tcW w:w="4679"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报告内容</w:t>
            </w:r>
          </w:p>
        </w:tc>
        <w:tc>
          <w:tcPr>
            <w:tcW w:w="113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成果提交时限</w:t>
            </w:r>
          </w:p>
        </w:tc>
      </w:tr>
      <w:tr w:rsidR="001C66B0">
        <w:trPr>
          <w:cantSplit/>
          <w:trHeight w:val="389"/>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勘察设计阶段</w:t>
            </w:r>
          </w:p>
        </w:tc>
        <w:tc>
          <w:tcPr>
            <w:tcW w:w="851"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总报告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R0勘察设计质量风险评估报告</w:t>
            </w:r>
          </w:p>
        </w:tc>
        <w:tc>
          <w:tcPr>
            <w:tcW w:w="4679" w:type="dxa"/>
            <w:vAlign w:val="center"/>
          </w:tcPr>
          <w:p w:rsidR="001C66B0" w:rsidRDefault="00D005FC">
            <w:pPr>
              <w:ind w:leftChars="13" w:left="27" w:firstLineChars="1" w:firstLine="2"/>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场地环境的风险评估</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勘察质量及地质风险分析、评价</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设计文件</w:t>
            </w:r>
            <w:r>
              <w:rPr>
                <w:rFonts w:ascii="宋体" w:eastAsia="宋体" w:hAnsi="宋体"/>
                <w:bCs/>
                <w:szCs w:val="21"/>
              </w:rPr>
              <w:t>技术</w:t>
            </w:r>
            <w:r>
              <w:rPr>
                <w:rFonts w:ascii="宋体" w:eastAsia="宋体" w:hAnsi="宋体" w:hint="eastAsia"/>
                <w:bCs/>
                <w:szCs w:val="21"/>
              </w:rPr>
              <w:t>风险分析,评价</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造价文件合理性风险分析,评价</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主要参建方资质及人员评价</w:t>
            </w:r>
          </w:p>
          <w:p w:rsidR="001C66B0" w:rsidRDefault="00D005FC">
            <w:pPr>
              <w:pStyle w:val="a6"/>
              <w:numPr>
                <w:ilvl w:val="1"/>
                <w:numId w:val="46"/>
              </w:numPr>
              <w:ind w:leftChars="13" w:left="447"/>
              <w:rPr>
                <w:rFonts w:ascii="宋体" w:eastAsia="宋体" w:hAnsi="宋体"/>
                <w:bCs/>
                <w:szCs w:val="21"/>
              </w:rPr>
            </w:pPr>
            <w:r>
              <w:rPr>
                <w:rFonts w:ascii="宋体" w:eastAsia="宋体" w:hAnsi="宋体" w:hint="eastAsia"/>
                <w:bCs/>
                <w:szCs w:val="21"/>
              </w:rPr>
              <w:t>项目实施主要风险预评估</w:t>
            </w:r>
          </w:p>
        </w:tc>
        <w:tc>
          <w:tcPr>
            <w:tcW w:w="1134" w:type="dxa"/>
            <w:vMerge w:val="restart"/>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收到齐全的勘察设计资料后</w:t>
            </w:r>
            <w:r>
              <w:rPr>
                <w:rFonts w:asciiTheme="minorEastAsia" w:hAnsiTheme="minorEastAsia" w:cstheme="minorEastAsia"/>
                <w:bCs/>
              </w:rPr>
              <w:t>20</w:t>
            </w:r>
            <w:r>
              <w:rPr>
                <w:rFonts w:asciiTheme="minorEastAsia" w:hAnsiTheme="minorEastAsia" w:cstheme="minorEastAsia" w:hint="eastAsia"/>
                <w:bCs/>
              </w:rPr>
              <w:t>日内出具</w:t>
            </w:r>
          </w:p>
        </w:tc>
      </w:tr>
      <w:tr w:rsidR="001C66B0">
        <w:trPr>
          <w:cantSplit/>
          <w:trHeight w:val="50"/>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A0勘察设计安全风险评估报告</w:t>
            </w:r>
          </w:p>
        </w:tc>
        <w:tc>
          <w:tcPr>
            <w:tcW w:w="4679" w:type="dxa"/>
            <w:vAlign w:val="center"/>
          </w:tcPr>
          <w:p w:rsidR="001C66B0" w:rsidRDefault="00D005FC">
            <w:pPr>
              <w:ind w:leftChars="13" w:left="27" w:firstLineChars="1" w:firstLine="2"/>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47"/>
              </w:numPr>
              <w:ind w:leftChars="12" w:left="428" w:hanging="403"/>
              <w:rPr>
                <w:rFonts w:ascii="宋体" w:eastAsia="宋体" w:hAnsi="宋体"/>
                <w:bCs/>
                <w:szCs w:val="21"/>
              </w:rPr>
            </w:pPr>
            <w:r>
              <w:rPr>
                <w:rFonts w:ascii="宋体" w:eastAsia="宋体" w:hAnsi="宋体" w:hint="eastAsia"/>
                <w:bCs/>
                <w:szCs w:val="21"/>
              </w:rPr>
              <w:t>项目周边环境安全影响</w:t>
            </w:r>
          </w:p>
          <w:p w:rsidR="001C66B0" w:rsidRDefault="00D005FC">
            <w:pPr>
              <w:pStyle w:val="a6"/>
              <w:numPr>
                <w:ilvl w:val="0"/>
                <w:numId w:val="47"/>
              </w:numPr>
              <w:ind w:leftChars="4" w:left="411" w:hanging="403"/>
              <w:rPr>
                <w:rFonts w:ascii="宋体" w:eastAsia="宋体" w:hAnsi="宋体"/>
                <w:bCs/>
                <w:szCs w:val="21"/>
              </w:rPr>
            </w:pPr>
            <w:r>
              <w:rPr>
                <w:rFonts w:ascii="宋体" w:eastAsia="宋体" w:hAnsi="宋体" w:hint="eastAsia"/>
                <w:bCs/>
                <w:szCs w:val="21"/>
              </w:rPr>
              <w:t>勘察文件中地质条件可能造成的工程安全风险分析、评价</w:t>
            </w:r>
          </w:p>
          <w:p w:rsidR="001C66B0" w:rsidRDefault="00D005FC">
            <w:pPr>
              <w:pStyle w:val="a6"/>
              <w:numPr>
                <w:ilvl w:val="0"/>
                <w:numId w:val="47"/>
              </w:numPr>
              <w:ind w:leftChars="4" w:left="411" w:hanging="403"/>
              <w:rPr>
                <w:rFonts w:ascii="宋体" w:eastAsia="宋体" w:hAnsi="宋体"/>
                <w:bCs/>
                <w:szCs w:val="21"/>
              </w:rPr>
            </w:pPr>
            <w:r>
              <w:rPr>
                <w:rFonts w:ascii="宋体" w:eastAsia="宋体" w:hAnsi="宋体" w:hint="eastAsia"/>
                <w:bCs/>
                <w:szCs w:val="21"/>
              </w:rPr>
              <w:t>设计文件中危大工程的重点部位和环节，以及影响工程周边环境安全、工程施工安全的风险分析、评价</w:t>
            </w:r>
          </w:p>
          <w:p w:rsidR="001C66B0" w:rsidRDefault="00D005FC">
            <w:pPr>
              <w:pStyle w:val="a6"/>
              <w:numPr>
                <w:ilvl w:val="0"/>
                <w:numId w:val="47"/>
              </w:numPr>
              <w:ind w:leftChars="13" w:left="447"/>
              <w:rPr>
                <w:rFonts w:ascii="宋体" w:eastAsia="宋体" w:hAnsi="宋体"/>
                <w:bCs/>
                <w:szCs w:val="21"/>
              </w:rPr>
            </w:pPr>
            <w:r>
              <w:rPr>
                <w:rFonts w:ascii="宋体" w:eastAsia="宋体" w:hAnsi="宋体" w:hint="eastAsia"/>
                <w:bCs/>
                <w:szCs w:val="21"/>
              </w:rPr>
              <w:t>主要参建方安全资质及安全人员评价</w:t>
            </w:r>
          </w:p>
        </w:tc>
        <w:tc>
          <w:tcPr>
            <w:tcW w:w="1134" w:type="dxa"/>
            <w:vMerge/>
            <w:vAlign w:val="center"/>
          </w:tcPr>
          <w:p w:rsidR="001C66B0" w:rsidRDefault="001C66B0">
            <w:pPr>
              <w:spacing w:before="240" w:after="120"/>
              <w:ind w:firstLineChars="1" w:firstLine="2"/>
              <w:rPr>
                <w:rFonts w:asciiTheme="minorEastAsia" w:hAnsiTheme="minorEastAsia" w:cstheme="minorEastAsia"/>
                <w:bCs/>
              </w:rPr>
            </w:pPr>
          </w:p>
        </w:tc>
      </w:tr>
    </w:tbl>
    <w:p w:rsidR="001C66B0" w:rsidRDefault="001C66B0"/>
    <w:p w:rsidR="001C66B0" w:rsidRDefault="001C66B0"/>
    <w:p w:rsidR="001C66B0" w:rsidRDefault="001C66B0"/>
    <w:p w:rsidR="001C66B0" w:rsidRDefault="001C66B0"/>
    <w:p w:rsidR="001C66B0" w:rsidRDefault="00D005FC">
      <w:pPr>
        <w:jc w:val="center"/>
      </w:pPr>
      <w:r>
        <w:rPr>
          <w:rFonts w:hint="eastAsia"/>
        </w:rPr>
        <w:lastRenderedPageBreak/>
        <w:t>续表</w:t>
      </w:r>
      <w:r>
        <w:rPr>
          <w:rFonts w:hint="eastAsia"/>
        </w:rPr>
        <w:t xml:space="preserve"> </w:t>
      </w:r>
      <w:r>
        <w:rPr>
          <w:rFonts w:ascii="宋体" w:hAnsi="宋体" w:hint="eastAsia"/>
          <w:szCs w:val="21"/>
        </w:rPr>
        <w:t>7.</w:t>
      </w:r>
      <w:r>
        <w:rPr>
          <w:rFonts w:ascii="宋体" w:hAnsi="宋体"/>
          <w:szCs w:val="21"/>
        </w:rPr>
        <w:t>2</w:t>
      </w:r>
      <w:r>
        <w:rPr>
          <w:rFonts w:ascii="宋体" w:hAnsi="宋体" w:hint="eastAsia"/>
          <w:szCs w:val="21"/>
        </w:rPr>
        <w:t>.</w:t>
      </w:r>
      <w:r>
        <w:rPr>
          <w:rFonts w:ascii="宋体" w:hAnsi="宋体"/>
          <w:szCs w:val="21"/>
        </w:rPr>
        <w:t>1</w:t>
      </w:r>
    </w:p>
    <w:tbl>
      <w:tblPr>
        <w:tblW w:w="92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694"/>
        <w:gridCol w:w="851"/>
        <w:gridCol w:w="1842"/>
        <w:gridCol w:w="4679"/>
        <w:gridCol w:w="1134"/>
      </w:tblGrid>
      <w:tr w:rsidR="001C66B0">
        <w:trPr>
          <w:cantSplit/>
          <w:trHeight w:val="389"/>
          <w:jc w:val="center"/>
        </w:trPr>
        <w:tc>
          <w:tcPr>
            <w:tcW w:w="69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施工阶段</w:t>
            </w:r>
          </w:p>
        </w:tc>
        <w:tc>
          <w:tcPr>
            <w:tcW w:w="851"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w:t>
            </w:r>
          </w:p>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类型</w:t>
            </w:r>
          </w:p>
        </w:tc>
        <w:tc>
          <w:tcPr>
            <w:tcW w:w="1842" w:type="dxa"/>
            <w:vAlign w:val="center"/>
          </w:tcPr>
          <w:p w:rsidR="001C66B0" w:rsidRDefault="00D005FC">
            <w:pPr>
              <w:ind w:leftChars="17" w:left="36" w:rightChars="16" w:right="34" w:firstLineChars="1" w:firstLine="2"/>
              <w:jc w:val="center"/>
              <w:rPr>
                <w:rFonts w:ascii="宋体" w:eastAsia="宋体" w:hAnsi="宋体"/>
                <w:b/>
                <w:bCs/>
                <w:szCs w:val="21"/>
              </w:rPr>
            </w:pPr>
            <w:r>
              <w:rPr>
                <w:rFonts w:ascii="宋体" w:eastAsia="宋体" w:hAnsi="宋体" w:hint="eastAsia"/>
                <w:b/>
                <w:bCs/>
                <w:szCs w:val="21"/>
              </w:rPr>
              <w:t>报告名称</w:t>
            </w:r>
          </w:p>
        </w:tc>
        <w:tc>
          <w:tcPr>
            <w:tcW w:w="4679" w:type="dxa"/>
            <w:vAlign w:val="center"/>
          </w:tcPr>
          <w:p w:rsidR="001C66B0" w:rsidRDefault="00D005FC">
            <w:pPr>
              <w:jc w:val="center"/>
              <w:rPr>
                <w:rFonts w:ascii="宋体" w:eastAsia="宋体" w:hAnsi="宋体"/>
                <w:b/>
                <w:bCs/>
                <w:szCs w:val="21"/>
              </w:rPr>
            </w:pPr>
            <w:r>
              <w:rPr>
                <w:rFonts w:ascii="宋体" w:eastAsia="宋体" w:hAnsi="宋体" w:hint="eastAsia"/>
                <w:b/>
                <w:bCs/>
                <w:szCs w:val="21"/>
              </w:rPr>
              <w:t>报告内容</w:t>
            </w:r>
          </w:p>
        </w:tc>
        <w:tc>
          <w:tcPr>
            <w:tcW w:w="113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成果提交时限</w:t>
            </w:r>
          </w:p>
        </w:tc>
      </w:tr>
      <w:tr w:rsidR="001C66B0">
        <w:trPr>
          <w:cantSplit/>
          <w:trHeight w:val="389"/>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勘察设计阶段</w:t>
            </w:r>
          </w:p>
        </w:tc>
        <w:tc>
          <w:tcPr>
            <w:tcW w:w="851" w:type="dxa"/>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服务计划</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风险管理服务计划</w:t>
            </w:r>
          </w:p>
        </w:tc>
        <w:tc>
          <w:tcPr>
            <w:tcW w:w="4679" w:type="dxa"/>
            <w:vAlign w:val="center"/>
          </w:tcPr>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项目基本信息、保险责任、施工进度计划</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项目风险管理团队人员配备及分工</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风险管理服务依据</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风险管理的服务内容、风险评估范围、检查频次安排、工作流程</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过程检查方法、质量检测手段、查勘仪器</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过程中需重点控制的节点、部位、工序及专项计划</w:t>
            </w:r>
          </w:p>
          <w:p w:rsidR="001C66B0" w:rsidRDefault="00D005FC">
            <w:pPr>
              <w:pStyle w:val="a6"/>
              <w:numPr>
                <w:ilvl w:val="0"/>
                <w:numId w:val="48"/>
              </w:numPr>
              <w:ind w:leftChars="4" w:left="411" w:hanging="403"/>
              <w:rPr>
                <w:rFonts w:ascii="宋体" w:eastAsia="宋体" w:hAnsi="宋体"/>
                <w:bCs/>
                <w:szCs w:val="21"/>
              </w:rPr>
            </w:pPr>
            <w:r>
              <w:rPr>
                <w:rFonts w:ascii="宋体" w:eastAsia="宋体" w:hAnsi="宋体" w:hint="eastAsia"/>
                <w:bCs/>
                <w:szCs w:val="21"/>
              </w:rPr>
              <w:t>拟出具的报告或形成的成果文件</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签署风险管理服务合同前出具，并附在R</w:t>
            </w:r>
            <w:r>
              <w:rPr>
                <w:rFonts w:asciiTheme="minorEastAsia" w:hAnsiTheme="minorEastAsia" w:cstheme="minorEastAsia"/>
                <w:bCs/>
              </w:rPr>
              <w:t>0</w:t>
            </w:r>
            <w:r>
              <w:rPr>
                <w:rFonts w:asciiTheme="minorEastAsia" w:hAnsiTheme="minorEastAsia" w:cstheme="minorEastAsia" w:hint="eastAsia"/>
                <w:bCs/>
              </w:rPr>
              <w:t>报告后</w:t>
            </w:r>
          </w:p>
        </w:tc>
      </w:tr>
      <w:tr w:rsidR="001C66B0">
        <w:trPr>
          <w:cantSplit/>
          <w:trHeight w:val="510"/>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质量专项报告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R0-1地基基础和主体结构设计风险评估报告（1</w:t>
            </w:r>
            <w:r>
              <w:rPr>
                <w:rFonts w:ascii="宋体" w:eastAsia="宋体" w:hAnsi="宋体"/>
                <w:bCs/>
                <w:szCs w:val="21"/>
              </w:rPr>
              <w:t>0</w:t>
            </w:r>
            <w:r>
              <w:rPr>
                <w:rFonts w:ascii="宋体" w:eastAsia="宋体" w:hAnsi="宋体" w:hint="eastAsia"/>
                <w:bCs/>
                <w:szCs w:val="21"/>
              </w:rPr>
              <w:t>年期）</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专项审查勘察报告和结构设计文件质量风险</w:t>
            </w:r>
          </w:p>
        </w:tc>
        <w:tc>
          <w:tcPr>
            <w:tcW w:w="1134" w:type="dxa"/>
            <w:vMerge w:val="restart"/>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与R</w:t>
            </w:r>
            <w:r>
              <w:rPr>
                <w:rFonts w:asciiTheme="minorEastAsia" w:hAnsiTheme="minorEastAsia" w:cstheme="minorEastAsia"/>
                <w:bCs/>
              </w:rPr>
              <w:t>0</w:t>
            </w:r>
            <w:r>
              <w:rPr>
                <w:rFonts w:asciiTheme="minorEastAsia" w:hAnsiTheme="minorEastAsia" w:cstheme="minorEastAsia" w:hint="eastAsia"/>
                <w:bCs/>
              </w:rPr>
              <w:t>报告一并出具</w:t>
            </w:r>
          </w:p>
        </w:tc>
      </w:tr>
      <w:tr w:rsidR="001C66B0">
        <w:trPr>
          <w:cantSplit/>
          <w:trHeight w:val="510"/>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R0-2防水和保温工程设计风险评估报告（5年期）</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专项审查保温和防水设计文件质量风险</w:t>
            </w:r>
          </w:p>
        </w:tc>
        <w:tc>
          <w:tcPr>
            <w:tcW w:w="1134" w:type="dxa"/>
            <w:vMerge/>
            <w:vAlign w:val="center"/>
          </w:tcPr>
          <w:p w:rsidR="001C66B0" w:rsidRDefault="001C66B0">
            <w:pPr>
              <w:spacing w:before="240" w:after="120"/>
              <w:ind w:firstLineChars="1" w:firstLine="2"/>
              <w:rPr>
                <w:rFonts w:asciiTheme="minorEastAsia" w:hAnsiTheme="minorEastAsia" w:cstheme="minorEastAsia"/>
                <w:bCs/>
              </w:rPr>
            </w:pPr>
          </w:p>
        </w:tc>
      </w:tr>
      <w:tr w:rsidR="001C66B0">
        <w:trPr>
          <w:cantSplit/>
          <w:trHeight w:val="510"/>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R0-3装修和安装工程设计风险评估报告（2年期）</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专项审查装饰装修工程、电气管线、给排水管道、设备安装工程、供热与供冷系统工程相应设计文件质量风险</w:t>
            </w:r>
          </w:p>
        </w:tc>
        <w:tc>
          <w:tcPr>
            <w:tcW w:w="1134" w:type="dxa"/>
            <w:vMerge/>
            <w:vAlign w:val="center"/>
          </w:tcPr>
          <w:p w:rsidR="001C66B0" w:rsidRDefault="001C66B0">
            <w:pPr>
              <w:spacing w:before="240" w:after="120"/>
              <w:ind w:firstLineChars="1" w:firstLine="2"/>
              <w:rPr>
                <w:rFonts w:asciiTheme="minorEastAsia" w:hAnsiTheme="minorEastAsia" w:cstheme="minorEastAsia"/>
                <w:bCs/>
              </w:rPr>
            </w:pPr>
          </w:p>
        </w:tc>
      </w:tr>
      <w:tr w:rsidR="001C66B0">
        <w:trPr>
          <w:cantSplit/>
          <w:trHeight w:val="510"/>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R0-</w:t>
            </w:r>
            <w:r>
              <w:rPr>
                <w:rFonts w:ascii="宋体" w:eastAsia="宋体" w:hAnsi="宋体"/>
                <w:bCs/>
                <w:szCs w:val="21"/>
              </w:rPr>
              <w:t>4</w:t>
            </w:r>
            <w:r>
              <w:rPr>
                <w:rFonts w:ascii="宋体" w:eastAsia="宋体" w:hAnsi="宋体" w:hint="eastAsia"/>
                <w:bCs/>
                <w:szCs w:val="21"/>
              </w:rPr>
              <w:t xml:space="preserve"> “四新”设计风险评估报告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专项针对工程采用新技术、新材料、新工艺、新设备等方面的设计审查</w:t>
            </w:r>
          </w:p>
        </w:tc>
        <w:tc>
          <w:tcPr>
            <w:tcW w:w="1134" w:type="dxa"/>
            <w:vMerge/>
            <w:vAlign w:val="center"/>
          </w:tcPr>
          <w:p w:rsidR="001C66B0" w:rsidRDefault="001C66B0">
            <w:pPr>
              <w:spacing w:before="240" w:after="120"/>
              <w:ind w:firstLineChars="1" w:firstLine="2"/>
              <w:rPr>
                <w:rFonts w:asciiTheme="minorEastAsia" w:hAnsiTheme="minorEastAsia" w:cstheme="minorEastAsia"/>
                <w:bCs/>
              </w:rPr>
            </w:pPr>
          </w:p>
        </w:tc>
      </w:tr>
      <w:tr w:rsidR="001C66B0">
        <w:trPr>
          <w:cantSplit/>
          <w:trHeight w:val="699"/>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施工阶段</w:t>
            </w:r>
          </w:p>
        </w:tc>
        <w:tc>
          <w:tcPr>
            <w:tcW w:w="851" w:type="dxa"/>
            <w:vMerge w:val="restart"/>
            <w:vAlign w:val="center"/>
          </w:tcPr>
          <w:p w:rsidR="001C66B0" w:rsidRDefault="00D005FC">
            <w:pPr>
              <w:spacing w:before="240" w:after="120"/>
              <w:ind w:firstLineChars="1" w:firstLine="2"/>
              <w:rPr>
                <w:rFonts w:ascii="宋体" w:eastAsia="宋体" w:hAnsi="宋体"/>
                <w:bCs/>
                <w:szCs w:val="21"/>
              </w:rPr>
            </w:pPr>
            <w:r>
              <w:rPr>
                <w:rFonts w:ascii="宋体" w:eastAsia="宋体" w:hAnsi="宋体" w:hint="eastAsia"/>
                <w:bCs/>
                <w:szCs w:val="21"/>
              </w:rPr>
              <w:t>过程报告</w:t>
            </w:r>
          </w:p>
        </w:tc>
        <w:tc>
          <w:tcPr>
            <w:tcW w:w="1842" w:type="dxa"/>
            <w:vAlign w:val="center"/>
          </w:tcPr>
          <w:p w:rsidR="001C66B0" w:rsidRDefault="00D005FC">
            <w:pPr>
              <w:ind w:leftChars="17" w:left="36" w:rightChars="16" w:right="34" w:firstLineChars="1" w:firstLine="2"/>
              <w:rPr>
                <w:rFonts w:ascii="宋体" w:eastAsia="宋体" w:hAnsi="宋体"/>
                <w:bCs/>
                <w:szCs w:val="21"/>
              </w:rPr>
            </w:pPr>
            <w:r>
              <w:rPr>
                <w:rFonts w:ascii="宋体" w:eastAsia="宋体" w:hAnsi="宋体" w:hint="eastAsia"/>
                <w:bCs/>
                <w:szCs w:val="21"/>
              </w:rPr>
              <w:t>R1</w:t>
            </w:r>
            <w:r>
              <w:rPr>
                <w:rFonts w:ascii="宋体" w:eastAsia="宋体" w:hAnsi="宋体"/>
                <w:bCs/>
                <w:szCs w:val="21"/>
              </w:rPr>
              <w:t>-</w:t>
            </w:r>
            <w:r>
              <w:rPr>
                <w:rFonts w:ascii="宋体" w:eastAsia="宋体" w:hAnsi="宋体" w:hint="eastAsia"/>
                <w:bCs/>
                <w:szCs w:val="21"/>
              </w:rPr>
              <w:t>xx施工质量过程风险评估报告</w:t>
            </w:r>
          </w:p>
          <w:p w:rsidR="001C66B0" w:rsidRDefault="00D005FC">
            <w:pPr>
              <w:ind w:leftChars="17" w:left="36" w:rightChars="16" w:right="34" w:firstLineChars="1" w:firstLine="2"/>
              <w:rPr>
                <w:rFonts w:ascii="宋体" w:eastAsia="宋体" w:hAnsi="宋体"/>
                <w:bCs/>
                <w:szCs w:val="21"/>
              </w:rPr>
            </w:pPr>
            <w:r>
              <w:rPr>
                <w:rFonts w:ascii="宋体" w:eastAsia="宋体" w:hAnsi="宋体" w:hint="eastAsia"/>
                <w:bCs/>
                <w:szCs w:val="21"/>
              </w:rPr>
              <w:t>（xx代表编号，自0</w:t>
            </w:r>
            <w:r>
              <w:rPr>
                <w:rFonts w:ascii="宋体" w:eastAsia="宋体" w:hAnsi="宋体"/>
                <w:bCs/>
                <w:szCs w:val="21"/>
              </w:rPr>
              <w:t>1</w:t>
            </w:r>
            <w:r>
              <w:rPr>
                <w:rFonts w:ascii="宋体" w:eastAsia="宋体" w:hAnsi="宋体" w:hint="eastAsia"/>
                <w:bCs/>
                <w:szCs w:val="21"/>
              </w:rPr>
              <w:t>起顺序编号）</w:t>
            </w:r>
          </w:p>
        </w:tc>
        <w:tc>
          <w:tcPr>
            <w:tcW w:w="4679" w:type="dxa"/>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检查情况的描述</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参建单位质量保证体系</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施工方案风险点分析、评价</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现场检查情况汇总，问题的处理建议等</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对应保险责任范围的专项风险评估(如防水,保温工程等)</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整改及销项、未销项问题汇总</w:t>
            </w:r>
          </w:p>
          <w:p w:rsidR="001C66B0" w:rsidRDefault="00D005FC">
            <w:pPr>
              <w:pStyle w:val="a6"/>
              <w:numPr>
                <w:ilvl w:val="0"/>
                <w:numId w:val="49"/>
              </w:numPr>
              <w:ind w:leftChars="13" w:left="447"/>
              <w:rPr>
                <w:rFonts w:ascii="宋体" w:eastAsia="宋体" w:hAnsi="宋体"/>
                <w:bCs/>
                <w:szCs w:val="21"/>
              </w:rPr>
            </w:pPr>
            <w:r>
              <w:rPr>
                <w:rFonts w:ascii="宋体" w:eastAsia="宋体" w:hAnsi="宋体"/>
                <w:bCs/>
                <w:szCs w:val="21"/>
              </w:rPr>
              <w:t>第三方监测风险分析，评价</w:t>
            </w:r>
          </w:p>
          <w:p w:rsidR="001C66B0" w:rsidRDefault="00D005FC">
            <w:pPr>
              <w:pStyle w:val="a6"/>
              <w:numPr>
                <w:ilvl w:val="0"/>
                <w:numId w:val="49"/>
              </w:numPr>
              <w:ind w:leftChars="13" w:left="447"/>
              <w:rPr>
                <w:rFonts w:ascii="宋体" w:eastAsia="宋体" w:hAnsi="宋体"/>
                <w:bCs/>
                <w:szCs w:val="21"/>
              </w:rPr>
            </w:pPr>
            <w:r>
              <w:rPr>
                <w:rFonts w:ascii="宋体" w:eastAsia="宋体" w:hAnsi="宋体" w:hint="eastAsia"/>
                <w:bCs/>
                <w:szCs w:val="21"/>
              </w:rPr>
              <w:t>工程质量安全情况总体风险识别评价</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每次过程检查后2日内出具</w:t>
            </w:r>
          </w:p>
        </w:tc>
      </w:tr>
      <w:tr w:rsidR="001C66B0">
        <w:trPr>
          <w:cantSplit/>
          <w:trHeight w:val="699"/>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ind w:leftChars="17" w:left="36" w:rightChars="16" w:right="34" w:firstLineChars="1" w:firstLine="2"/>
              <w:rPr>
                <w:rFonts w:ascii="宋体" w:eastAsia="宋体" w:hAnsi="宋体"/>
                <w:bCs/>
                <w:szCs w:val="21"/>
              </w:rPr>
            </w:pPr>
            <w:r>
              <w:rPr>
                <w:rFonts w:ascii="宋体" w:eastAsia="宋体" w:hAnsi="宋体" w:hint="eastAsia"/>
                <w:bCs/>
                <w:szCs w:val="21"/>
              </w:rPr>
              <w:t>A1</w:t>
            </w:r>
            <w:r>
              <w:rPr>
                <w:rFonts w:ascii="宋体" w:eastAsia="宋体" w:hAnsi="宋体"/>
                <w:bCs/>
                <w:szCs w:val="21"/>
              </w:rPr>
              <w:t>-</w:t>
            </w:r>
            <w:r>
              <w:rPr>
                <w:rFonts w:ascii="宋体" w:eastAsia="宋体" w:hAnsi="宋体" w:hint="eastAsia"/>
                <w:bCs/>
                <w:szCs w:val="21"/>
              </w:rPr>
              <w:t>xx施工安全过程风险评估报告</w:t>
            </w:r>
          </w:p>
          <w:p w:rsidR="001C66B0" w:rsidRDefault="00D005FC">
            <w:pPr>
              <w:ind w:leftChars="17" w:left="36" w:rightChars="16" w:right="34" w:firstLineChars="1" w:firstLine="2"/>
              <w:rPr>
                <w:rFonts w:ascii="宋体" w:eastAsia="宋体" w:hAnsi="宋体"/>
                <w:bCs/>
                <w:szCs w:val="21"/>
              </w:rPr>
            </w:pPr>
            <w:r>
              <w:rPr>
                <w:rFonts w:ascii="宋体" w:eastAsia="宋体" w:hAnsi="宋体" w:hint="eastAsia"/>
                <w:bCs/>
                <w:szCs w:val="21"/>
              </w:rPr>
              <w:t>（xx代表编号，自0</w:t>
            </w:r>
            <w:r>
              <w:rPr>
                <w:rFonts w:ascii="宋体" w:eastAsia="宋体" w:hAnsi="宋体"/>
                <w:bCs/>
                <w:szCs w:val="21"/>
              </w:rPr>
              <w:t>1</w:t>
            </w:r>
            <w:r>
              <w:rPr>
                <w:rFonts w:ascii="宋体" w:eastAsia="宋体" w:hAnsi="宋体" w:hint="eastAsia"/>
                <w:bCs/>
                <w:szCs w:val="21"/>
              </w:rPr>
              <w:t>起顺序编号）</w:t>
            </w:r>
          </w:p>
        </w:tc>
        <w:tc>
          <w:tcPr>
            <w:tcW w:w="4679" w:type="dxa"/>
          </w:tcPr>
          <w:p w:rsidR="001C66B0" w:rsidRDefault="00D005FC">
            <w:pPr>
              <w:ind w:leftChars="13" w:left="27" w:firstLineChars="1" w:firstLine="2"/>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50"/>
              </w:numPr>
              <w:ind w:leftChars="13" w:left="447"/>
              <w:jc w:val="left"/>
              <w:rPr>
                <w:rFonts w:ascii="宋体" w:eastAsia="宋体" w:hAnsi="宋体"/>
                <w:bCs/>
                <w:szCs w:val="21"/>
              </w:rPr>
            </w:pPr>
            <w:r>
              <w:rPr>
                <w:rFonts w:ascii="宋体" w:eastAsia="宋体" w:hAnsi="宋体" w:hint="eastAsia"/>
                <w:bCs/>
                <w:szCs w:val="21"/>
              </w:rPr>
              <w:t>检查情况的描述</w:t>
            </w:r>
          </w:p>
          <w:p w:rsidR="001C66B0" w:rsidRDefault="00D005FC">
            <w:pPr>
              <w:pStyle w:val="a6"/>
              <w:numPr>
                <w:ilvl w:val="0"/>
                <w:numId w:val="50"/>
              </w:numPr>
              <w:ind w:leftChars="13" w:left="447"/>
              <w:jc w:val="left"/>
              <w:rPr>
                <w:rFonts w:ascii="宋体" w:eastAsia="宋体" w:hAnsi="宋体"/>
                <w:bCs/>
                <w:szCs w:val="21"/>
              </w:rPr>
            </w:pPr>
            <w:r>
              <w:rPr>
                <w:rFonts w:ascii="宋体" w:eastAsia="宋体" w:hAnsi="宋体" w:hint="eastAsia"/>
                <w:bCs/>
                <w:szCs w:val="21"/>
              </w:rPr>
              <w:t>参建单位安全保证体系</w:t>
            </w:r>
          </w:p>
          <w:p w:rsidR="001C66B0" w:rsidRDefault="00D005FC">
            <w:pPr>
              <w:pStyle w:val="a6"/>
              <w:numPr>
                <w:ilvl w:val="0"/>
                <w:numId w:val="50"/>
              </w:numPr>
              <w:ind w:leftChars="13" w:left="447"/>
              <w:jc w:val="left"/>
              <w:rPr>
                <w:rFonts w:ascii="宋体" w:eastAsia="宋体" w:hAnsi="宋体"/>
                <w:bCs/>
                <w:szCs w:val="21"/>
              </w:rPr>
            </w:pPr>
            <w:r>
              <w:rPr>
                <w:rFonts w:ascii="宋体" w:eastAsia="宋体" w:hAnsi="宋体"/>
                <w:bCs/>
                <w:szCs w:val="21"/>
              </w:rPr>
              <w:t>风险识别和隐患排查表、重大风险隐患整改提示单</w:t>
            </w:r>
          </w:p>
          <w:p w:rsidR="001C66B0" w:rsidRDefault="00D005FC">
            <w:pPr>
              <w:pStyle w:val="a6"/>
              <w:numPr>
                <w:ilvl w:val="0"/>
                <w:numId w:val="50"/>
              </w:numPr>
              <w:ind w:leftChars="13" w:left="447"/>
              <w:jc w:val="left"/>
              <w:rPr>
                <w:rFonts w:ascii="宋体" w:eastAsia="宋体" w:hAnsi="宋体"/>
                <w:bCs/>
                <w:szCs w:val="21"/>
              </w:rPr>
            </w:pPr>
            <w:r>
              <w:rPr>
                <w:rFonts w:ascii="宋体" w:eastAsia="宋体" w:hAnsi="宋体"/>
                <w:bCs/>
                <w:szCs w:val="21"/>
              </w:rPr>
              <w:t>安全风险评估结果</w:t>
            </w:r>
          </w:p>
          <w:p w:rsidR="001C66B0" w:rsidRDefault="00D005FC">
            <w:pPr>
              <w:pStyle w:val="a6"/>
              <w:numPr>
                <w:ilvl w:val="0"/>
                <w:numId w:val="50"/>
              </w:numPr>
              <w:ind w:leftChars="13" w:left="447"/>
              <w:jc w:val="left"/>
              <w:rPr>
                <w:rFonts w:ascii="宋体" w:eastAsia="宋体" w:hAnsi="宋体"/>
                <w:bCs/>
                <w:szCs w:val="21"/>
              </w:rPr>
            </w:pPr>
            <w:r>
              <w:rPr>
                <w:rFonts w:ascii="宋体" w:eastAsia="宋体" w:hAnsi="宋体"/>
                <w:bCs/>
                <w:szCs w:val="21"/>
              </w:rPr>
              <w:t>安全风险管理和隐患整改建议</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每次过程检查后2日内出具</w:t>
            </w:r>
          </w:p>
        </w:tc>
      </w:tr>
    </w:tbl>
    <w:p w:rsidR="001C66B0" w:rsidRDefault="001C66B0"/>
    <w:p w:rsidR="001C66B0" w:rsidRDefault="001C66B0"/>
    <w:p w:rsidR="001C66B0" w:rsidRDefault="001C66B0"/>
    <w:p w:rsidR="001C66B0" w:rsidRDefault="001C66B0"/>
    <w:p w:rsidR="001C66B0" w:rsidRDefault="00D005FC">
      <w:pPr>
        <w:jc w:val="center"/>
      </w:pPr>
      <w:r>
        <w:rPr>
          <w:rFonts w:hint="eastAsia"/>
        </w:rPr>
        <w:lastRenderedPageBreak/>
        <w:t>续表</w:t>
      </w:r>
      <w:r>
        <w:rPr>
          <w:rFonts w:hint="eastAsia"/>
        </w:rPr>
        <w:t xml:space="preserve"> </w:t>
      </w:r>
      <w:r>
        <w:rPr>
          <w:rFonts w:ascii="宋体" w:hAnsi="宋体" w:hint="eastAsia"/>
          <w:szCs w:val="21"/>
        </w:rPr>
        <w:t>7.</w:t>
      </w:r>
      <w:r>
        <w:rPr>
          <w:rFonts w:ascii="宋体" w:hAnsi="宋体"/>
          <w:szCs w:val="21"/>
        </w:rPr>
        <w:t>2</w:t>
      </w:r>
      <w:r>
        <w:rPr>
          <w:rFonts w:ascii="宋体" w:hAnsi="宋体" w:hint="eastAsia"/>
          <w:szCs w:val="21"/>
        </w:rPr>
        <w:t>.</w:t>
      </w:r>
      <w:r>
        <w:rPr>
          <w:rFonts w:ascii="宋体" w:hAnsi="宋体"/>
          <w:szCs w:val="21"/>
        </w:rPr>
        <w:t>1</w:t>
      </w:r>
    </w:p>
    <w:tbl>
      <w:tblPr>
        <w:tblW w:w="92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694"/>
        <w:gridCol w:w="851"/>
        <w:gridCol w:w="1842"/>
        <w:gridCol w:w="4679"/>
        <w:gridCol w:w="1134"/>
      </w:tblGrid>
      <w:tr w:rsidR="001C66B0">
        <w:trPr>
          <w:cantSplit/>
          <w:trHeight w:val="663"/>
          <w:jc w:val="center"/>
        </w:trPr>
        <w:tc>
          <w:tcPr>
            <w:tcW w:w="69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施工阶段</w:t>
            </w:r>
          </w:p>
        </w:tc>
        <w:tc>
          <w:tcPr>
            <w:tcW w:w="851"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w:t>
            </w:r>
          </w:p>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类型</w:t>
            </w:r>
          </w:p>
        </w:tc>
        <w:tc>
          <w:tcPr>
            <w:tcW w:w="1842" w:type="dxa"/>
            <w:vAlign w:val="center"/>
          </w:tcPr>
          <w:p w:rsidR="001C66B0" w:rsidRDefault="00D005FC">
            <w:pPr>
              <w:ind w:leftChars="17" w:left="36" w:rightChars="16" w:right="34" w:firstLineChars="1" w:firstLine="2"/>
              <w:jc w:val="center"/>
              <w:rPr>
                <w:rFonts w:ascii="宋体" w:eastAsia="宋体" w:hAnsi="宋体"/>
                <w:b/>
                <w:bCs/>
                <w:szCs w:val="21"/>
              </w:rPr>
            </w:pPr>
            <w:r>
              <w:rPr>
                <w:rFonts w:ascii="宋体" w:eastAsia="宋体" w:hAnsi="宋体" w:hint="eastAsia"/>
                <w:b/>
                <w:bCs/>
                <w:szCs w:val="21"/>
              </w:rPr>
              <w:t>报告名称</w:t>
            </w:r>
          </w:p>
        </w:tc>
        <w:tc>
          <w:tcPr>
            <w:tcW w:w="4679"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报告内容</w:t>
            </w:r>
          </w:p>
        </w:tc>
        <w:tc>
          <w:tcPr>
            <w:tcW w:w="113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成果提交时限</w:t>
            </w:r>
          </w:p>
        </w:tc>
      </w:tr>
      <w:tr w:rsidR="001C66B0">
        <w:trPr>
          <w:cantSplit/>
          <w:trHeight w:val="663"/>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施工阶段</w:t>
            </w:r>
          </w:p>
        </w:tc>
        <w:tc>
          <w:tcPr>
            <w:tcW w:w="851"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质量专项报告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1</w:t>
            </w:r>
            <w:r>
              <w:rPr>
                <w:rFonts w:ascii="宋体" w:eastAsia="宋体" w:hAnsi="宋体" w:hint="eastAsia"/>
                <w:bCs/>
                <w:szCs w:val="21"/>
              </w:rPr>
              <w:t>-1场地条件和基础工程技术风险评估报告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地基基础分部工程完工后，对其进行专题检查并汇总设计审查、施工过程检查和整改情况出具的报告（包含勘察设计及施工风险）</w:t>
            </w:r>
          </w:p>
        </w:tc>
        <w:tc>
          <w:tcPr>
            <w:tcW w:w="1134" w:type="dxa"/>
            <w:vMerge w:val="restart"/>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在该分部分项工程结束并验收完成后3</w:t>
            </w:r>
            <w:r>
              <w:rPr>
                <w:rFonts w:asciiTheme="minorEastAsia" w:hAnsiTheme="minorEastAsia" w:cstheme="minorEastAsia"/>
                <w:bCs/>
              </w:rPr>
              <w:t>0</w:t>
            </w:r>
            <w:r>
              <w:rPr>
                <w:rFonts w:asciiTheme="minorEastAsia" w:hAnsiTheme="minorEastAsia" w:cstheme="minorEastAsia" w:hint="eastAsia"/>
                <w:bCs/>
              </w:rPr>
              <w:t>日内出具</w:t>
            </w:r>
          </w:p>
        </w:tc>
      </w:tr>
      <w:tr w:rsidR="001C66B0">
        <w:trPr>
          <w:cantSplit/>
          <w:trHeight w:val="687"/>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1</w:t>
            </w:r>
            <w:r>
              <w:rPr>
                <w:rFonts w:ascii="宋体" w:eastAsia="宋体" w:hAnsi="宋体" w:hint="eastAsia"/>
                <w:bCs/>
                <w:szCs w:val="21"/>
              </w:rPr>
              <w:t>-2主体结构工程技术风险评估报告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主体结构分部工程完工后，对其进行专题检查并汇总设计审查、施工过程检查和整改情况出具的报告（包含勘察设计及施工风险）</w:t>
            </w:r>
          </w:p>
        </w:tc>
        <w:tc>
          <w:tcPr>
            <w:tcW w:w="1134" w:type="dxa"/>
            <w:vMerge/>
          </w:tcPr>
          <w:p w:rsidR="001C66B0" w:rsidRDefault="001C66B0">
            <w:pPr>
              <w:spacing w:before="240" w:after="120"/>
              <w:ind w:firstLineChars="1" w:firstLine="2"/>
              <w:jc w:val="left"/>
              <w:rPr>
                <w:rFonts w:ascii="宋体" w:eastAsia="宋体" w:hAnsi="宋体"/>
                <w:bCs/>
                <w:szCs w:val="21"/>
              </w:rPr>
            </w:pPr>
          </w:p>
        </w:tc>
      </w:tr>
      <w:tr w:rsidR="001C66B0">
        <w:trPr>
          <w:cantSplit/>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1</w:t>
            </w:r>
            <w:r>
              <w:rPr>
                <w:rFonts w:ascii="宋体" w:eastAsia="宋体" w:hAnsi="宋体" w:hint="eastAsia"/>
                <w:bCs/>
                <w:szCs w:val="21"/>
              </w:rPr>
              <w:t>-</w:t>
            </w:r>
            <w:r>
              <w:rPr>
                <w:rFonts w:ascii="宋体" w:eastAsia="宋体" w:hAnsi="宋体"/>
                <w:bCs/>
                <w:szCs w:val="21"/>
              </w:rPr>
              <w:t>3</w:t>
            </w:r>
            <w:r>
              <w:rPr>
                <w:rFonts w:ascii="宋体" w:eastAsia="宋体" w:hAnsi="宋体" w:hint="eastAsia"/>
                <w:bCs/>
                <w:szCs w:val="21"/>
              </w:rPr>
              <w:t>保温及防水工程技术风险评估报告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保温、防水工程完工后，对其进行专题检查并汇总设计审查、施工过程检查和整改情况出具的报告（包含勘察设计及施工风险）</w:t>
            </w:r>
          </w:p>
        </w:tc>
        <w:tc>
          <w:tcPr>
            <w:tcW w:w="1134" w:type="dxa"/>
            <w:vMerge/>
          </w:tcPr>
          <w:p w:rsidR="001C66B0" w:rsidRDefault="001C66B0">
            <w:pPr>
              <w:spacing w:before="240" w:after="120"/>
              <w:ind w:firstLineChars="1" w:firstLine="2"/>
              <w:rPr>
                <w:rFonts w:ascii="宋体" w:eastAsia="宋体" w:hAnsi="宋体"/>
                <w:bCs/>
                <w:szCs w:val="21"/>
              </w:rPr>
            </w:pPr>
          </w:p>
        </w:tc>
      </w:tr>
      <w:tr w:rsidR="001C66B0">
        <w:trPr>
          <w:cantSplit/>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1-4</w:t>
            </w:r>
            <w:r>
              <w:rPr>
                <w:rFonts w:ascii="宋体" w:eastAsia="宋体" w:hAnsi="宋体" w:hint="eastAsia"/>
                <w:bCs/>
                <w:szCs w:val="21"/>
              </w:rPr>
              <w:t>装饰装修工程技术风险评估报告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装修工程完工后，对其进行专题检查并汇总设计审查、施工过程检查和整改情况出具的报告（包含勘察设计及施工风险）</w:t>
            </w:r>
          </w:p>
        </w:tc>
        <w:tc>
          <w:tcPr>
            <w:tcW w:w="1134" w:type="dxa"/>
            <w:vMerge/>
          </w:tcPr>
          <w:p w:rsidR="001C66B0" w:rsidRDefault="001C66B0">
            <w:pPr>
              <w:spacing w:before="240" w:after="120"/>
              <w:ind w:firstLineChars="1" w:firstLine="2"/>
              <w:rPr>
                <w:rFonts w:ascii="宋体" w:eastAsia="宋体" w:hAnsi="宋体"/>
                <w:bCs/>
                <w:szCs w:val="21"/>
              </w:rPr>
            </w:pPr>
          </w:p>
        </w:tc>
      </w:tr>
      <w:tr w:rsidR="001C66B0">
        <w:trPr>
          <w:cantSplit/>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1-5</w:t>
            </w:r>
            <w:r>
              <w:rPr>
                <w:rFonts w:ascii="宋体" w:eastAsia="宋体" w:hAnsi="宋体" w:hint="eastAsia"/>
                <w:bCs/>
                <w:szCs w:val="21"/>
              </w:rPr>
              <w:t>安装工程技术风险评估报告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给水排水、通风空调、供暖、电气工程完工后，对其进行专题检查并汇总设计审查、施工过程检查和整改情况出具的报告（包含勘察设计及施工风险）</w:t>
            </w:r>
          </w:p>
        </w:tc>
        <w:tc>
          <w:tcPr>
            <w:tcW w:w="1134" w:type="dxa"/>
            <w:vMerge/>
          </w:tcPr>
          <w:p w:rsidR="001C66B0" w:rsidRDefault="001C66B0">
            <w:pPr>
              <w:spacing w:before="240" w:after="120"/>
              <w:ind w:leftChars="-50" w:left="-105" w:rightChars="-52" w:right="-109" w:firstLineChars="1" w:firstLine="2"/>
              <w:jc w:val="center"/>
              <w:rPr>
                <w:rFonts w:ascii="宋体" w:eastAsia="宋体" w:hAnsi="宋体"/>
                <w:bCs/>
                <w:szCs w:val="21"/>
              </w:rPr>
            </w:pPr>
          </w:p>
        </w:tc>
      </w:tr>
      <w:tr w:rsidR="001C66B0">
        <w:trPr>
          <w:cantSplit/>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竣工阶段</w:t>
            </w:r>
          </w:p>
        </w:tc>
        <w:tc>
          <w:tcPr>
            <w:tcW w:w="851"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总报告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R2竣工质量风险评估报告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检查情况汇总</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整改及销项问题汇总</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未销项问题汇总</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检查情况的风险效果评价</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需进行无损检测的建议项汇总</w:t>
            </w:r>
          </w:p>
          <w:p w:rsidR="001C66B0" w:rsidRDefault="00D005FC">
            <w:pPr>
              <w:pStyle w:val="a6"/>
              <w:numPr>
                <w:ilvl w:val="0"/>
                <w:numId w:val="51"/>
              </w:numPr>
              <w:ind w:leftChars="13" w:left="447"/>
              <w:jc w:val="left"/>
              <w:rPr>
                <w:rFonts w:ascii="宋体" w:eastAsia="宋体" w:hAnsi="宋体"/>
                <w:bCs/>
                <w:szCs w:val="21"/>
              </w:rPr>
            </w:pPr>
            <w:r>
              <w:rPr>
                <w:rFonts w:ascii="宋体" w:eastAsia="宋体" w:hAnsi="宋体" w:hint="eastAsia"/>
                <w:bCs/>
                <w:szCs w:val="21"/>
              </w:rPr>
              <w:t>工程质量情况的总体评价</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竣工验收前</w:t>
            </w:r>
            <w:r>
              <w:rPr>
                <w:rFonts w:asciiTheme="minorEastAsia" w:hAnsiTheme="minorEastAsia" w:cstheme="minorEastAsia"/>
                <w:bCs/>
              </w:rPr>
              <w:t>1</w:t>
            </w:r>
            <w:r>
              <w:rPr>
                <w:rFonts w:asciiTheme="minorEastAsia" w:hAnsiTheme="minorEastAsia" w:cstheme="minorEastAsia" w:hint="eastAsia"/>
                <w:bCs/>
              </w:rPr>
              <w:t>0日出具</w:t>
            </w:r>
          </w:p>
        </w:tc>
      </w:tr>
      <w:tr w:rsidR="001C66B0">
        <w:trPr>
          <w:cantSplit/>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A2安全管理服务总结报告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52"/>
              </w:numPr>
              <w:ind w:leftChars="13" w:left="447"/>
              <w:jc w:val="left"/>
              <w:rPr>
                <w:rFonts w:ascii="宋体" w:eastAsia="宋体" w:hAnsi="宋体"/>
                <w:bCs/>
                <w:szCs w:val="21"/>
              </w:rPr>
            </w:pPr>
            <w:r>
              <w:rPr>
                <w:rFonts w:ascii="宋体" w:eastAsia="宋体" w:hAnsi="宋体" w:hint="eastAsia"/>
                <w:bCs/>
                <w:szCs w:val="21"/>
              </w:rPr>
              <w:t>项目</w:t>
            </w:r>
            <w:r>
              <w:rPr>
                <w:rFonts w:ascii="宋体" w:eastAsia="宋体" w:hAnsi="宋体"/>
                <w:bCs/>
                <w:szCs w:val="21"/>
              </w:rPr>
              <w:t>风险</w:t>
            </w:r>
            <w:r>
              <w:rPr>
                <w:rFonts w:ascii="宋体" w:eastAsia="宋体" w:hAnsi="宋体" w:hint="eastAsia"/>
                <w:bCs/>
                <w:szCs w:val="21"/>
              </w:rPr>
              <w:t>分级管控</w:t>
            </w:r>
            <w:r>
              <w:rPr>
                <w:rFonts w:ascii="宋体" w:eastAsia="宋体" w:hAnsi="宋体"/>
                <w:bCs/>
                <w:szCs w:val="21"/>
              </w:rPr>
              <w:t>情况汇总</w:t>
            </w:r>
          </w:p>
          <w:p w:rsidR="001C66B0" w:rsidRDefault="00D005FC">
            <w:pPr>
              <w:pStyle w:val="a6"/>
              <w:numPr>
                <w:ilvl w:val="0"/>
                <w:numId w:val="52"/>
              </w:numPr>
              <w:ind w:leftChars="13" w:left="447"/>
              <w:jc w:val="left"/>
              <w:rPr>
                <w:rFonts w:ascii="宋体" w:eastAsia="宋体" w:hAnsi="宋体"/>
                <w:bCs/>
                <w:szCs w:val="21"/>
              </w:rPr>
            </w:pPr>
            <w:r>
              <w:rPr>
                <w:rFonts w:ascii="宋体" w:eastAsia="宋体" w:hAnsi="宋体" w:hint="eastAsia"/>
                <w:bCs/>
                <w:szCs w:val="21"/>
              </w:rPr>
              <w:t>过程安全</w:t>
            </w:r>
            <w:r>
              <w:rPr>
                <w:rFonts w:ascii="宋体" w:eastAsia="宋体" w:hAnsi="宋体"/>
                <w:bCs/>
                <w:szCs w:val="21"/>
              </w:rPr>
              <w:t xml:space="preserve">隐患排查和整改情况汇总 </w:t>
            </w:r>
          </w:p>
          <w:p w:rsidR="001C66B0" w:rsidRDefault="00D005FC">
            <w:pPr>
              <w:pStyle w:val="a6"/>
              <w:numPr>
                <w:ilvl w:val="0"/>
                <w:numId w:val="52"/>
              </w:numPr>
              <w:ind w:leftChars="13" w:left="447"/>
              <w:jc w:val="left"/>
              <w:rPr>
                <w:rFonts w:ascii="宋体" w:eastAsia="宋体" w:hAnsi="宋体"/>
                <w:bCs/>
                <w:szCs w:val="21"/>
              </w:rPr>
            </w:pPr>
            <w:r>
              <w:rPr>
                <w:rFonts w:ascii="宋体" w:eastAsia="宋体" w:hAnsi="宋体" w:hint="eastAsia"/>
                <w:bCs/>
                <w:szCs w:val="21"/>
              </w:rPr>
              <w:t>过程风险管理</w:t>
            </w:r>
            <w:r>
              <w:rPr>
                <w:rFonts w:ascii="宋体" w:eastAsia="宋体" w:hAnsi="宋体"/>
                <w:bCs/>
                <w:szCs w:val="21"/>
              </w:rPr>
              <w:t>情况</w:t>
            </w:r>
            <w:r>
              <w:rPr>
                <w:rFonts w:ascii="宋体" w:eastAsia="宋体" w:hAnsi="宋体" w:hint="eastAsia"/>
                <w:bCs/>
                <w:szCs w:val="21"/>
              </w:rPr>
              <w:t>趋势分析</w:t>
            </w:r>
          </w:p>
          <w:p w:rsidR="001C66B0" w:rsidRDefault="00D005FC">
            <w:pPr>
              <w:pStyle w:val="a6"/>
              <w:numPr>
                <w:ilvl w:val="0"/>
                <w:numId w:val="52"/>
              </w:numPr>
              <w:ind w:leftChars="13" w:left="447"/>
              <w:jc w:val="left"/>
              <w:rPr>
                <w:rFonts w:ascii="宋体" w:eastAsia="宋体" w:hAnsi="宋体"/>
                <w:bCs/>
                <w:szCs w:val="21"/>
              </w:rPr>
            </w:pPr>
            <w:r>
              <w:rPr>
                <w:rFonts w:ascii="宋体" w:eastAsia="宋体" w:hAnsi="宋体"/>
                <w:bCs/>
                <w:szCs w:val="21"/>
              </w:rPr>
              <w:t>生产安全事故记录</w:t>
            </w:r>
          </w:p>
          <w:p w:rsidR="001C66B0" w:rsidRDefault="00D005FC">
            <w:pPr>
              <w:pStyle w:val="a6"/>
              <w:numPr>
                <w:ilvl w:val="0"/>
                <w:numId w:val="52"/>
              </w:numPr>
              <w:ind w:leftChars="13" w:left="447"/>
              <w:jc w:val="left"/>
              <w:rPr>
                <w:rFonts w:ascii="宋体" w:eastAsia="宋体" w:hAnsi="宋体"/>
                <w:bCs/>
                <w:szCs w:val="21"/>
              </w:rPr>
            </w:pPr>
            <w:r>
              <w:rPr>
                <w:rFonts w:ascii="宋体" w:eastAsia="宋体" w:hAnsi="宋体" w:hint="eastAsia"/>
                <w:bCs/>
                <w:szCs w:val="21"/>
              </w:rPr>
              <w:t>对参建各方安全管理水平</w:t>
            </w:r>
            <w:r>
              <w:rPr>
                <w:rFonts w:ascii="宋体" w:eastAsia="宋体" w:hAnsi="宋体"/>
                <w:bCs/>
                <w:szCs w:val="21"/>
              </w:rPr>
              <w:t>总体分析与评价</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竣工验收后20日内出具</w:t>
            </w:r>
          </w:p>
        </w:tc>
      </w:tr>
      <w:tr w:rsidR="001C66B0">
        <w:trPr>
          <w:cantSplit/>
          <w:trHeight w:val="534"/>
          <w:jc w:val="center"/>
        </w:trPr>
        <w:tc>
          <w:tcPr>
            <w:tcW w:w="694" w:type="dxa"/>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回访阶段</w:t>
            </w:r>
          </w:p>
        </w:tc>
        <w:tc>
          <w:tcPr>
            <w:tcW w:w="851" w:type="dxa"/>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过程报告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R3</w:t>
            </w:r>
            <w:r>
              <w:rPr>
                <w:rFonts w:ascii="宋体" w:eastAsia="宋体" w:hAnsi="宋体"/>
                <w:bCs/>
                <w:szCs w:val="21"/>
              </w:rPr>
              <w:t>-</w:t>
            </w:r>
            <w:r>
              <w:rPr>
                <w:rFonts w:ascii="宋体" w:eastAsia="宋体" w:hAnsi="宋体" w:hint="eastAsia"/>
                <w:bCs/>
                <w:szCs w:val="21"/>
              </w:rPr>
              <w:t>xx回访期过程评估报告</w:t>
            </w:r>
          </w:p>
          <w:p w:rsidR="001C66B0" w:rsidRDefault="00D005FC">
            <w:pPr>
              <w:ind w:leftChars="17" w:left="36" w:rightChars="16" w:right="34" w:firstLineChars="1" w:firstLine="2"/>
              <w:rPr>
                <w:rFonts w:ascii="宋体" w:eastAsia="宋体" w:hAnsi="宋体"/>
                <w:bCs/>
                <w:szCs w:val="21"/>
              </w:rPr>
            </w:pPr>
            <w:r>
              <w:rPr>
                <w:rFonts w:ascii="宋体" w:eastAsia="宋体" w:hAnsi="宋体" w:hint="eastAsia"/>
                <w:bCs/>
                <w:szCs w:val="21"/>
              </w:rPr>
              <w:t>（xx代表编号，自0</w:t>
            </w:r>
            <w:r>
              <w:rPr>
                <w:rFonts w:ascii="宋体" w:eastAsia="宋体" w:hAnsi="宋体"/>
                <w:bCs/>
                <w:szCs w:val="21"/>
              </w:rPr>
              <w:t>1</w:t>
            </w:r>
            <w:r>
              <w:rPr>
                <w:rFonts w:ascii="宋体" w:eastAsia="宋体" w:hAnsi="宋体" w:hint="eastAsia"/>
                <w:bCs/>
                <w:szCs w:val="21"/>
              </w:rPr>
              <w:t>起顺序编号）</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协助主管部门质量投诉技术调查及整改跟踪情况</w:t>
            </w:r>
          </w:p>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季度现场检查及专项检查发现的质量问题</w:t>
            </w:r>
          </w:p>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对竣工遗留质量问题的跟踪复核</w:t>
            </w:r>
          </w:p>
          <w:p w:rsidR="001C66B0" w:rsidRDefault="00D005FC">
            <w:pPr>
              <w:pStyle w:val="a6"/>
              <w:numPr>
                <w:ilvl w:val="0"/>
                <w:numId w:val="53"/>
              </w:numPr>
              <w:ind w:leftChars="13" w:left="447"/>
              <w:jc w:val="left"/>
              <w:rPr>
                <w:rFonts w:ascii="宋体" w:eastAsia="宋体" w:hAnsi="宋体"/>
                <w:bCs/>
                <w:szCs w:val="21"/>
              </w:rPr>
            </w:pPr>
            <w:bookmarkStart w:id="56" w:name="_Hlk105922137"/>
            <w:r>
              <w:rPr>
                <w:rFonts w:ascii="宋体" w:eastAsia="宋体" w:hAnsi="宋体" w:hint="eastAsia"/>
                <w:bCs/>
                <w:szCs w:val="21"/>
              </w:rPr>
              <w:t>与物业对接，查阅分析物业报修记录</w:t>
            </w:r>
          </w:p>
          <w:bookmarkEnd w:id="56"/>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对回访期检查新发现质量问题的跟踪复核</w:t>
            </w:r>
          </w:p>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用户非正常使用、维护建筑产品的记录</w:t>
            </w:r>
          </w:p>
          <w:p w:rsidR="001C66B0" w:rsidRDefault="00D005FC">
            <w:pPr>
              <w:pStyle w:val="a6"/>
              <w:numPr>
                <w:ilvl w:val="0"/>
                <w:numId w:val="53"/>
              </w:numPr>
              <w:ind w:leftChars="13" w:left="447"/>
              <w:jc w:val="left"/>
              <w:rPr>
                <w:rFonts w:ascii="宋体" w:eastAsia="宋体" w:hAnsi="宋体"/>
                <w:bCs/>
                <w:szCs w:val="21"/>
              </w:rPr>
            </w:pPr>
            <w:r>
              <w:rPr>
                <w:rFonts w:ascii="宋体" w:eastAsia="宋体" w:hAnsi="宋体" w:hint="eastAsia"/>
                <w:bCs/>
                <w:szCs w:val="21"/>
              </w:rPr>
              <w:t>对可能出现的同类问题预防性处理的建议</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每季度初10日内出具上季度</w:t>
            </w:r>
          </w:p>
        </w:tc>
      </w:tr>
    </w:tbl>
    <w:p w:rsidR="001C66B0" w:rsidRDefault="001C66B0"/>
    <w:p w:rsidR="001C66B0" w:rsidRDefault="001C66B0"/>
    <w:p w:rsidR="001C66B0" w:rsidRDefault="001C66B0"/>
    <w:p w:rsidR="001C66B0" w:rsidRDefault="00D005FC">
      <w:pPr>
        <w:jc w:val="center"/>
      </w:pPr>
      <w:r>
        <w:rPr>
          <w:rFonts w:hint="eastAsia"/>
        </w:rPr>
        <w:lastRenderedPageBreak/>
        <w:t>续表</w:t>
      </w:r>
      <w:r>
        <w:rPr>
          <w:rFonts w:hint="eastAsia"/>
        </w:rPr>
        <w:t xml:space="preserve"> </w:t>
      </w:r>
      <w:r>
        <w:rPr>
          <w:rFonts w:ascii="宋体" w:hAnsi="宋体" w:hint="eastAsia"/>
          <w:szCs w:val="21"/>
        </w:rPr>
        <w:t>7.</w:t>
      </w:r>
      <w:r>
        <w:rPr>
          <w:rFonts w:ascii="宋体" w:hAnsi="宋体"/>
          <w:szCs w:val="21"/>
        </w:rPr>
        <w:t>2</w:t>
      </w:r>
      <w:r>
        <w:rPr>
          <w:rFonts w:ascii="宋体" w:hAnsi="宋体" w:hint="eastAsia"/>
          <w:szCs w:val="21"/>
        </w:rPr>
        <w:t>.</w:t>
      </w:r>
      <w:r>
        <w:rPr>
          <w:rFonts w:ascii="宋体" w:hAnsi="宋体"/>
          <w:szCs w:val="21"/>
        </w:rPr>
        <w:t>1</w:t>
      </w:r>
    </w:p>
    <w:tbl>
      <w:tblPr>
        <w:tblW w:w="92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694"/>
        <w:gridCol w:w="851"/>
        <w:gridCol w:w="1842"/>
        <w:gridCol w:w="4679"/>
        <w:gridCol w:w="1134"/>
      </w:tblGrid>
      <w:tr w:rsidR="001C66B0">
        <w:trPr>
          <w:cantSplit/>
          <w:trHeight w:val="534"/>
          <w:jc w:val="center"/>
        </w:trPr>
        <w:tc>
          <w:tcPr>
            <w:tcW w:w="69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施工阶段</w:t>
            </w:r>
          </w:p>
        </w:tc>
        <w:tc>
          <w:tcPr>
            <w:tcW w:w="851"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报告</w:t>
            </w:r>
          </w:p>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类型</w:t>
            </w:r>
          </w:p>
        </w:tc>
        <w:tc>
          <w:tcPr>
            <w:tcW w:w="1842" w:type="dxa"/>
            <w:vAlign w:val="center"/>
          </w:tcPr>
          <w:p w:rsidR="001C66B0" w:rsidRDefault="00D005FC">
            <w:pPr>
              <w:ind w:leftChars="17" w:left="36" w:rightChars="16" w:right="34" w:firstLineChars="1" w:firstLine="2"/>
              <w:jc w:val="center"/>
              <w:rPr>
                <w:rFonts w:ascii="宋体" w:eastAsia="宋体" w:hAnsi="宋体"/>
                <w:b/>
                <w:bCs/>
                <w:szCs w:val="21"/>
              </w:rPr>
            </w:pPr>
            <w:r>
              <w:rPr>
                <w:rFonts w:ascii="宋体" w:eastAsia="宋体" w:hAnsi="宋体" w:hint="eastAsia"/>
                <w:b/>
                <w:bCs/>
                <w:szCs w:val="21"/>
              </w:rPr>
              <w:t>报告名称</w:t>
            </w:r>
          </w:p>
        </w:tc>
        <w:tc>
          <w:tcPr>
            <w:tcW w:w="4679" w:type="dxa"/>
            <w:vAlign w:val="center"/>
          </w:tcPr>
          <w:p w:rsidR="001C66B0" w:rsidRDefault="00D005FC">
            <w:pPr>
              <w:pStyle w:val="a6"/>
              <w:ind w:left="447"/>
              <w:jc w:val="center"/>
              <w:rPr>
                <w:rFonts w:ascii="宋体" w:eastAsia="宋体" w:hAnsi="宋体"/>
                <w:b/>
                <w:bCs/>
                <w:szCs w:val="21"/>
              </w:rPr>
            </w:pPr>
            <w:r>
              <w:rPr>
                <w:rFonts w:ascii="宋体" w:eastAsia="宋体" w:hAnsi="宋体" w:hint="eastAsia"/>
                <w:b/>
                <w:bCs/>
                <w:szCs w:val="21"/>
              </w:rPr>
              <w:t>报告内容</w:t>
            </w:r>
          </w:p>
        </w:tc>
        <w:tc>
          <w:tcPr>
            <w:tcW w:w="1134" w:type="dxa"/>
            <w:vAlign w:val="center"/>
          </w:tcPr>
          <w:p w:rsidR="001C66B0" w:rsidRDefault="00D005FC">
            <w:pPr>
              <w:ind w:firstLineChars="1" w:firstLine="2"/>
              <w:jc w:val="center"/>
              <w:rPr>
                <w:rFonts w:ascii="宋体" w:eastAsia="宋体" w:hAnsi="宋体"/>
                <w:b/>
                <w:bCs/>
                <w:szCs w:val="21"/>
              </w:rPr>
            </w:pPr>
            <w:r>
              <w:rPr>
                <w:rFonts w:ascii="宋体" w:eastAsia="宋体" w:hAnsi="宋体" w:hint="eastAsia"/>
                <w:b/>
                <w:bCs/>
                <w:szCs w:val="21"/>
              </w:rPr>
              <w:t>成果提交时限</w:t>
            </w:r>
          </w:p>
        </w:tc>
      </w:tr>
      <w:tr w:rsidR="001C66B0">
        <w:trPr>
          <w:cantSplit/>
          <w:trHeight w:val="534"/>
          <w:jc w:val="center"/>
        </w:trPr>
        <w:tc>
          <w:tcPr>
            <w:tcW w:w="694"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回访阶段</w:t>
            </w:r>
          </w:p>
        </w:tc>
        <w:tc>
          <w:tcPr>
            <w:tcW w:w="851" w:type="dxa"/>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总报告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R4最终检查评估报告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包括但不限于：</w:t>
            </w:r>
          </w:p>
          <w:p w:rsidR="001C66B0" w:rsidRDefault="00D005FC">
            <w:pPr>
              <w:pStyle w:val="a6"/>
              <w:numPr>
                <w:ilvl w:val="0"/>
                <w:numId w:val="54"/>
              </w:numPr>
              <w:ind w:leftChars="13" w:left="447"/>
              <w:jc w:val="left"/>
              <w:rPr>
                <w:rFonts w:ascii="宋体" w:eastAsia="宋体" w:hAnsi="宋体"/>
                <w:bCs/>
                <w:szCs w:val="21"/>
              </w:rPr>
            </w:pPr>
            <w:r>
              <w:rPr>
                <w:rFonts w:ascii="宋体" w:eastAsia="宋体" w:hAnsi="宋体" w:hint="eastAsia"/>
                <w:bCs/>
                <w:szCs w:val="21"/>
              </w:rPr>
              <w:t>回访期质量投诉情况汇总</w:t>
            </w:r>
          </w:p>
          <w:p w:rsidR="001C66B0" w:rsidRDefault="00D005FC">
            <w:pPr>
              <w:pStyle w:val="a6"/>
              <w:numPr>
                <w:ilvl w:val="0"/>
                <w:numId w:val="54"/>
              </w:numPr>
              <w:ind w:leftChars="13" w:left="447"/>
              <w:jc w:val="left"/>
              <w:rPr>
                <w:rFonts w:ascii="宋体" w:eastAsia="宋体" w:hAnsi="宋体"/>
                <w:bCs/>
                <w:szCs w:val="21"/>
              </w:rPr>
            </w:pPr>
            <w:r>
              <w:rPr>
                <w:rFonts w:ascii="宋体" w:eastAsia="宋体" w:hAnsi="宋体" w:hint="eastAsia"/>
                <w:bCs/>
                <w:szCs w:val="21"/>
              </w:rPr>
              <w:t>回访期现场检查情况汇总</w:t>
            </w:r>
          </w:p>
          <w:p w:rsidR="001C66B0" w:rsidRDefault="00D005FC">
            <w:pPr>
              <w:pStyle w:val="a6"/>
              <w:numPr>
                <w:ilvl w:val="0"/>
                <w:numId w:val="54"/>
              </w:numPr>
              <w:ind w:leftChars="13" w:left="447"/>
              <w:jc w:val="left"/>
              <w:rPr>
                <w:rFonts w:ascii="宋体" w:eastAsia="宋体" w:hAnsi="宋体"/>
                <w:bCs/>
                <w:szCs w:val="21"/>
              </w:rPr>
            </w:pPr>
            <w:r>
              <w:rPr>
                <w:rFonts w:ascii="宋体" w:eastAsia="宋体" w:hAnsi="宋体" w:hint="eastAsia"/>
                <w:bCs/>
                <w:szCs w:val="21"/>
              </w:rPr>
              <w:t>未整改问题汇总</w:t>
            </w:r>
          </w:p>
          <w:p w:rsidR="001C66B0" w:rsidRDefault="00D005FC">
            <w:pPr>
              <w:ind w:firstLineChars="1" w:firstLine="2"/>
              <w:jc w:val="left"/>
              <w:rPr>
                <w:rFonts w:ascii="宋体" w:eastAsia="宋体" w:hAnsi="宋体"/>
                <w:bCs/>
                <w:szCs w:val="21"/>
              </w:rPr>
            </w:pPr>
            <w:r>
              <w:rPr>
                <w:rFonts w:ascii="宋体" w:eastAsia="宋体" w:hAnsi="宋体" w:hint="eastAsia"/>
                <w:bCs/>
                <w:szCs w:val="21"/>
              </w:rPr>
              <w:t>对责任期可能发生质量问题的预防性处理建议</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回访期结束前30日</w:t>
            </w:r>
          </w:p>
        </w:tc>
      </w:tr>
      <w:tr w:rsidR="001C66B0">
        <w:trPr>
          <w:cantSplit/>
          <w:trHeight w:val="534"/>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restart"/>
            <w:vAlign w:val="center"/>
          </w:tcPr>
          <w:p w:rsidR="001C66B0" w:rsidRDefault="00D005FC">
            <w:pPr>
              <w:spacing w:before="240" w:after="120"/>
              <w:ind w:firstLineChars="1" w:firstLine="2"/>
              <w:jc w:val="center"/>
              <w:rPr>
                <w:rFonts w:ascii="宋体" w:eastAsia="宋体" w:hAnsi="宋体"/>
                <w:bCs/>
                <w:szCs w:val="21"/>
              </w:rPr>
            </w:pPr>
            <w:r>
              <w:rPr>
                <w:rFonts w:ascii="宋体" w:eastAsia="宋体" w:hAnsi="宋体" w:hint="eastAsia"/>
                <w:bCs/>
                <w:szCs w:val="21"/>
              </w:rPr>
              <w:t>质量专项报告</w:t>
            </w: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R4</w:t>
            </w:r>
            <w:r>
              <w:rPr>
                <w:rFonts w:ascii="宋体" w:eastAsia="宋体" w:hAnsi="宋体"/>
                <w:bCs/>
                <w:szCs w:val="21"/>
              </w:rPr>
              <w:t>-1</w:t>
            </w:r>
            <w:r>
              <w:rPr>
                <w:rFonts w:asciiTheme="minorEastAsia" w:hAnsiTheme="minorEastAsia" w:cstheme="minorEastAsia" w:hint="eastAsia"/>
                <w:bCs/>
              </w:rPr>
              <w:t>地基基础和主体结构</w:t>
            </w:r>
            <w:r>
              <w:rPr>
                <w:rFonts w:ascii="宋体" w:eastAsia="宋体" w:hAnsi="宋体" w:hint="eastAsia"/>
                <w:bCs/>
                <w:szCs w:val="21"/>
              </w:rPr>
              <w:t>回访期评估报告</w:t>
            </w:r>
          </w:p>
        </w:tc>
        <w:tc>
          <w:tcPr>
            <w:tcW w:w="4679" w:type="dxa"/>
            <w:vAlign w:val="center"/>
          </w:tcPr>
          <w:p w:rsidR="001C66B0" w:rsidRDefault="00D005FC">
            <w:pPr>
              <w:ind w:firstLineChars="1" w:firstLine="2"/>
              <w:jc w:val="left"/>
              <w:rPr>
                <w:rFonts w:ascii="宋体" w:eastAsia="宋体" w:hAnsi="宋体"/>
                <w:bCs/>
                <w:szCs w:val="21"/>
              </w:rPr>
            </w:pPr>
            <w:r>
              <w:rPr>
                <w:rFonts w:ascii="宋体" w:eastAsia="宋体" w:hAnsi="宋体" w:hint="eastAsia"/>
                <w:bCs/>
                <w:szCs w:val="21"/>
              </w:rPr>
              <w:t>专项检查记录回访期</w:t>
            </w:r>
            <w:r>
              <w:rPr>
                <w:rFonts w:asciiTheme="minorEastAsia" w:hAnsiTheme="minorEastAsia" w:cstheme="minorEastAsia" w:hint="eastAsia"/>
                <w:bCs/>
              </w:rPr>
              <w:t>地基基础和主体结构问题的报告</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与R</w:t>
            </w:r>
            <w:r>
              <w:rPr>
                <w:rFonts w:asciiTheme="minorEastAsia" w:hAnsiTheme="minorEastAsia" w:cstheme="minorEastAsia"/>
                <w:bCs/>
              </w:rPr>
              <w:t>4</w:t>
            </w:r>
            <w:r>
              <w:rPr>
                <w:rFonts w:asciiTheme="minorEastAsia" w:hAnsiTheme="minorEastAsia" w:cstheme="minorEastAsia" w:hint="eastAsia"/>
                <w:bCs/>
              </w:rPr>
              <w:t>报告一并出具</w:t>
            </w:r>
          </w:p>
        </w:tc>
      </w:tr>
      <w:tr w:rsidR="001C66B0">
        <w:trPr>
          <w:cantSplit/>
          <w:trHeight w:val="534"/>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4</w:t>
            </w:r>
            <w:r>
              <w:rPr>
                <w:rFonts w:ascii="宋体" w:eastAsia="宋体" w:hAnsi="宋体" w:hint="eastAsia"/>
                <w:bCs/>
                <w:szCs w:val="21"/>
              </w:rPr>
              <w:t>-</w:t>
            </w:r>
            <w:r>
              <w:rPr>
                <w:rFonts w:ascii="宋体" w:eastAsia="宋体" w:hAnsi="宋体"/>
                <w:bCs/>
                <w:szCs w:val="21"/>
              </w:rPr>
              <w:t>2</w:t>
            </w:r>
            <w:r>
              <w:rPr>
                <w:rFonts w:ascii="宋体" w:eastAsia="宋体" w:hAnsi="宋体" w:hint="eastAsia"/>
                <w:bCs/>
                <w:szCs w:val="21"/>
              </w:rPr>
              <w:t>保温及防水工程回访期评估报告</w:t>
            </w:r>
          </w:p>
        </w:tc>
        <w:tc>
          <w:tcPr>
            <w:tcW w:w="4679" w:type="dxa"/>
            <w:vAlign w:val="center"/>
          </w:tcPr>
          <w:p w:rsidR="001C66B0" w:rsidRDefault="00D005FC">
            <w:pPr>
              <w:ind w:firstLineChars="1" w:firstLine="2"/>
              <w:jc w:val="left"/>
              <w:rPr>
                <w:rFonts w:asciiTheme="minorEastAsia" w:hAnsiTheme="minorEastAsia" w:cstheme="minorEastAsia"/>
                <w:bCs/>
              </w:rPr>
            </w:pPr>
            <w:r>
              <w:rPr>
                <w:rFonts w:ascii="宋体" w:eastAsia="宋体" w:hAnsi="宋体" w:hint="eastAsia"/>
                <w:bCs/>
                <w:szCs w:val="21"/>
              </w:rPr>
              <w:t>专项检查记录回访期</w:t>
            </w:r>
            <w:r>
              <w:rPr>
                <w:rFonts w:asciiTheme="minorEastAsia" w:hAnsiTheme="minorEastAsia" w:cstheme="minorEastAsia" w:hint="eastAsia"/>
                <w:bCs/>
              </w:rPr>
              <w:t>保温和防水问题的报告</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与R</w:t>
            </w:r>
            <w:r>
              <w:rPr>
                <w:rFonts w:asciiTheme="minorEastAsia" w:hAnsiTheme="minorEastAsia" w:cstheme="minorEastAsia"/>
                <w:bCs/>
              </w:rPr>
              <w:t>4</w:t>
            </w:r>
            <w:r>
              <w:rPr>
                <w:rFonts w:asciiTheme="minorEastAsia" w:hAnsiTheme="minorEastAsia" w:cstheme="minorEastAsia" w:hint="eastAsia"/>
                <w:bCs/>
              </w:rPr>
              <w:t>报告一并出具</w:t>
            </w:r>
          </w:p>
        </w:tc>
      </w:tr>
      <w:tr w:rsidR="001C66B0">
        <w:trPr>
          <w:cantSplit/>
          <w:trHeight w:val="534"/>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4-3</w:t>
            </w:r>
            <w:r>
              <w:rPr>
                <w:rFonts w:ascii="宋体" w:eastAsia="宋体" w:hAnsi="宋体" w:hint="eastAsia"/>
                <w:bCs/>
                <w:szCs w:val="21"/>
              </w:rPr>
              <w:t>装饰装修工程回访期评估报告</w:t>
            </w:r>
          </w:p>
        </w:tc>
        <w:tc>
          <w:tcPr>
            <w:tcW w:w="4679" w:type="dxa"/>
            <w:vAlign w:val="center"/>
          </w:tcPr>
          <w:p w:rsidR="001C66B0" w:rsidRDefault="00D005FC">
            <w:pPr>
              <w:ind w:firstLineChars="1" w:firstLine="2"/>
              <w:jc w:val="left"/>
              <w:rPr>
                <w:rFonts w:asciiTheme="minorEastAsia" w:hAnsiTheme="minorEastAsia" w:cstheme="minorEastAsia"/>
                <w:bCs/>
              </w:rPr>
            </w:pPr>
            <w:r>
              <w:rPr>
                <w:rFonts w:ascii="宋体" w:eastAsia="宋体" w:hAnsi="宋体" w:hint="eastAsia"/>
                <w:bCs/>
                <w:szCs w:val="21"/>
              </w:rPr>
              <w:t>专项检查记录回访期装饰装修</w:t>
            </w:r>
            <w:r>
              <w:rPr>
                <w:rFonts w:asciiTheme="minorEastAsia" w:hAnsiTheme="minorEastAsia" w:cstheme="minorEastAsia" w:hint="eastAsia"/>
                <w:bCs/>
              </w:rPr>
              <w:t>问题的报告</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与R</w:t>
            </w:r>
            <w:r>
              <w:rPr>
                <w:rFonts w:asciiTheme="minorEastAsia" w:hAnsiTheme="minorEastAsia" w:cstheme="minorEastAsia"/>
                <w:bCs/>
              </w:rPr>
              <w:t>4</w:t>
            </w:r>
            <w:r>
              <w:rPr>
                <w:rFonts w:asciiTheme="minorEastAsia" w:hAnsiTheme="minorEastAsia" w:cstheme="minorEastAsia" w:hint="eastAsia"/>
                <w:bCs/>
              </w:rPr>
              <w:t>报告一并出具</w:t>
            </w:r>
          </w:p>
        </w:tc>
      </w:tr>
      <w:tr w:rsidR="001C66B0">
        <w:trPr>
          <w:cantSplit/>
          <w:trHeight w:val="534"/>
          <w:jc w:val="center"/>
        </w:trPr>
        <w:tc>
          <w:tcPr>
            <w:tcW w:w="694" w:type="dxa"/>
            <w:vMerge/>
            <w:vAlign w:val="center"/>
          </w:tcPr>
          <w:p w:rsidR="001C66B0" w:rsidRDefault="001C66B0">
            <w:pPr>
              <w:spacing w:before="240" w:after="120"/>
              <w:ind w:firstLineChars="1" w:firstLine="2"/>
              <w:jc w:val="center"/>
              <w:rPr>
                <w:rFonts w:ascii="宋体" w:eastAsia="宋体" w:hAnsi="宋体"/>
                <w:bCs/>
                <w:szCs w:val="21"/>
              </w:rPr>
            </w:pPr>
          </w:p>
        </w:tc>
        <w:tc>
          <w:tcPr>
            <w:tcW w:w="851" w:type="dxa"/>
            <w:vMerge/>
            <w:vAlign w:val="center"/>
          </w:tcPr>
          <w:p w:rsidR="001C66B0" w:rsidRDefault="001C66B0">
            <w:pPr>
              <w:spacing w:before="240" w:after="120"/>
              <w:ind w:firstLineChars="1" w:firstLine="2"/>
              <w:jc w:val="center"/>
              <w:rPr>
                <w:rFonts w:ascii="宋体" w:eastAsia="宋体" w:hAnsi="宋体"/>
                <w:bCs/>
                <w:szCs w:val="21"/>
              </w:rPr>
            </w:pPr>
          </w:p>
        </w:tc>
        <w:tc>
          <w:tcPr>
            <w:tcW w:w="1842" w:type="dxa"/>
            <w:vAlign w:val="center"/>
          </w:tcPr>
          <w:p w:rsidR="001C66B0" w:rsidRDefault="00D005FC">
            <w:pPr>
              <w:spacing w:before="240" w:after="120"/>
              <w:ind w:leftChars="17" w:left="36" w:rightChars="16" w:right="34" w:firstLineChars="1" w:firstLine="2"/>
              <w:rPr>
                <w:rFonts w:ascii="宋体" w:eastAsia="宋体" w:hAnsi="宋体"/>
                <w:bCs/>
                <w:szCs w:val="21"/>
              </w:rPr>
            </w:pPr>
            <w:r>
              <w:rPr>
                <w:rFonts w:ascii="宋体" w:eastAsia="宋体" w:hAnsi="宋体" w:hint="eastAsia"/>
                <w:bCs/>
                <w:szCs w:val="21"/>
              </w:rPr>
              <w:t>R</w:t>
            </w:r>
            <w:r>
              <w:rPr>
                <w:rFonts w:ascii="宋体" w:eastAsia="宋体" w:hAnsi="宋体"/>
                <w:bCs/>
                <w:szCs w:val="21"/>
              </w:rPr>
              <w:t>4-4</w:t>
            </w:r>
            <w:r>
              <w:rPr>
                <w:rFonts w:ascii="宋体" w:eastAsia="宋体" w:hAnsi="宋体" w:hint="eastAsia"/>
                <w:bCs/>
                <w:szCs w:val="21"/>
              </w:rPr>
              <w:t>安装工程回访期评估报告</w:t>
            </w:r>
          </w:p>
        </w:tc>
        <w:tc>
          <w:tcPr>
            <w:tcW w:w="4679" w:type="dxa"/>
            <w:vAlign w:val="center"/>
          </w:tcPr>
          <w:p w:rsidR="001C66B0" w:rsidRDefault="00D005FC">
            <w:pPr>
              <w:ind w:firstLineChars="1" w:firstLine="2"/>
              <w:jc w:val="left"/>
              <w:rPr>
                <w:rFonts w:asciiTheme="minorEastAsia" w:hAnsiTheme="minorEastAsia" w:cstheme="minorEastAsia"/>
                <w:bCs/>
              </w:rPr>
            </w:pPr>
            <w:r>
              <w:rPr>
                <w:rFonts w:ascii="宋体" w:eastAsia="宋体" w:hAnsi="宋体" w:hint="eastAsia"/>
                <w:bCs/>
                <w:szCs w:val="21"/>
              </w:rPr>
              <w:t>专项检查记录回访期给排水、通风空调、电气</w:t>
            </w:r>
            <w:r>
              <w:rPr>
                <w:rFonts w:asciiTheme="minorEastAsia" w:hAnsiTheme="minorEastAsia" w:cstheme="minorEastAsia" w:hint="eastAsia"/>
                <w:bCs/>
              </w:rPr>
              <w:t>问题情况的报告</w:t>
            </w:r>
          </w:p>
        </w:tc>
        <w:tc>
          <w:tcPr>
            <w:tcW w:w="1134" w:type="dxa"/>
            <w:vAlign w:val="center"/>
          </w:tcPr>
          <w:p w:rsidR="001C66B0" w:rsidRDefault="00D005FC">
            <w:pPr>
              <w:spacing w:before="240" w:after="120"/>
              <w:ind w:firstLineChars="1" w:firstLine="2"/>
              <w:rPr>
                <w:rFonts w:asciiTheme="minorEastAsia" w:hAnsiTheme="minorEastAsia" w:cstheme="minorEastAsia"/>
                <w:bCs/>
              </w:rPr>
            </w:pPr>
            <w:r>
              <w:rPr>
                <w:rFonts w:asciiTheme="minorEastAsia" w:hAnsiTheme="minorEastAsia" w:cstheme="minorEastAsia" w:hint="eastAsia"/>
                <w:bCs/>
              </w:rPr>
              <w:t>与R</w:t>
            </w:r>
            <w:r>
              <w:rPr>
                <w:rFonts w:asciiTheme="minorEastAsia" w:hAnsiTheme="minorEastAsia" w:cstheme="minorEastAsia"/>
                <w:bCs/>
              </w:rPr>
              <w:t>4</w:t>
            </w:r>
            <w:r>
              <w:rPr>
                <w:rFonts w:asciiTheme="minorEastAsia" w:hAnsiTheme="minorEastAsia" w:cstheme="minorEastAsia" w:hint="eastAsia"/>
                <w:bCs/>
              </w:rPr>
              <w:t>报告一并出具</w:t>
            </w:r>
          </w:p>
        </w:tc>
      </w:tr>
    </w:tbl>
    <w:p w:rsidR="001C66B0" w:rsidRDefault="00D005FC" w:rsidP="00D005FC">
      <w:pPr>
        <w:pStyle w:val="3"/>
        <w:spacing w:beforeLines="50"/>
      </w:pPr>
      <w:r>
        <w:t>风险管理机构应对</w:t>
      </w:r>
      <w:r>
        <w:rPr>
          <w:rFonts w:hint="eastAsia"/>
        </w:rPr>
        <w:t>以下特殊</w:t>
      </w:r>
      <w:r>
        <w:t xml:space="preserve">质量风险进行分析，并在各阶段报告中有所体现： </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装配式建筑综合分析；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钢结构住宅综合分析；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地下室无梁楼盖安全性分析；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外墙外保温系统稳定性分析；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地基稳定性分析；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裂缝可能性分析；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防水渗漏分析；</w:t>
      </w:r>
    </w:p>
    <w:p w:rsidR="001C66B0" w:rsidRDefault="00D005FC">
      <w:pPr>
        <w:pStyle w:val="a6"/>
        <w:numPr>
          <w:ilvl w:val="0"/>
          <w:numId w:val="55"/>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bCs/>
        </w:rPr>
        <w:t>其他特殊风险分析。</w:t>
      </w:r>
    </w:p>
    <w:p w:rsidR="001C66B0" w:rsidRDefault="00D005FC">
      <w:pPr>
        <w:tabs>
          <w:tab w:val="left" w:pos="142"/>
        </w:tabs>
        <w:spacing w:line="360" w:lineRule="auto"/>
        <w:ind w:rightChars="-34" w:right="-71"/>
        <w:jc w:val="left"/>
        <w:rPr>
          <w:rFonts w:asciiTheme="minorEastAsia" w:hAnsiTheme="minorEastAsia" w:cstheme="minorEastAsia"/>
          <w:bCs/>
        </w:rPr>
      </w:pPr>
      <w:r>
        <w:rPr>
          <w:rFonts w:asciiTheme="minorEastAsia" w:hAnsiTheme="minorEastAsia" w:cstheme="minorEastAsia"/>
          <w:bCs/>
        </w:rPr>
        <w:br w:type="page"/>
      </w:r>
    </w:p>
    <w:p w:rsidR="001C66B0" w:rsidRDefault="00D005FC">
      <w:pPr>
        <w:pStyle w:val="1"/>
      </w:pPr>
      <w:bookmarkStart w:id="57" w:name="_Toc176713667"/>
      <w:r>
        <w:rPr>
          <w:rFonts w:hint="eastAsia"/>
        </w:rPr>
        <w:lastRenderedPageBreak/>
        <w:t>保险风险等级评估</w:t>
      </w:r>
      <w:bookmarkEnd w:id="57"/>
    </w:p>
    <w:p w:rsidR="001C66B0" w:rsidRDefault="00D005FC">
      <w:pPr>
        <w:pStyle w:val="2"/>
        <w:spacing w:before="120"/>
      </w:pPr>
      <w:bookmarkStart w:id="58" w:name="_Toc176713668"/>
      <w:r>
        <w:rPr>
          <w:rFonts w:hint="eastAsia"/>
        </w:rPr>
        <w:t>保险风险评估方法</w:t>
      </w:r>
      <w:bookmarkEnd w:id="58"/>
    </w:p>
    <w:p w:rsidR="001C66B0" w:rsidRDefault="00D005FC">
      <w:pPr>
        <w:pStyle w:val="3"/>
      </w:pPr>
      <w:r>
        <w:rPr>
          <w:rFonts w:hint="eastAsia"/>
        </w:rPr>
        <w:t xml:space="preserve"> 建筑工程质量安全综合保险风险管理服务的风险评估，应根据风险状态导致未来保险公司发生保险责任内赔付的可能性和损失的严重性等因素评估确定，风险对保险责任外的影响和后果不纳入评估范围，评估确定的风险等级应仅适用于保险公司的风险管理工作。</w:t>
      </w:r>
    </w:p>
    <w:p w:rsidR="001C66B0" w:rsidRDefault="00D005FC">
      <w:pPr>
        <w:pStyle w:val="3"/>
      </w:pPr>
      <w:r>
        <w:rPr>
          <w:rFonts w:hint="eastAsia"/>
        </w:rPr>
        <w:t xml:space="preserve"> 风险管理机构</w:t>
      </w:r>
      <w:r>
        <w:t>应在报告中</w:t>
      </w:r>
      <w:r>
        <w:rPr>
          <w:rFonts w:hint="eastAsia"/>
        </w:rPr>
        <w:t>评估发现的</w:t>
      </w:r>
      <w:r>
        <w:t>每项</w:t>
      </w:r>
      <w:r>
        <w:rPr>
          <w:rFonts w:hint="eastAsia"/>
        </w:rPr>
        <w:t>质量问题和安全隐患的风险等级，并对工程项目整体质量安全风险情况</w:t>
      </w:r>
      <w:r>
        <w:t>评估风险</w:t>
      </w:r>
      <w:r>
        <w:rPr>
          <w:rFonts w:hint="eastAsia"/>
        </w:rPr>
        <w:t>等级。</w:t>
      </w:r>
    </w:p>
    <w:p w:rsidR="001C66B0" w:rsidRDefault="00D005FC">
      <w:pPr>
        <w:pStyle w:val="3"/>
      </w:pPr>
      <w:r>
        <w:rPr>
          <w:rFonts w:hint="eastAsia"/>
        </w:rPr>
        <w:t xml:space="preserve"> 风险管理机构</w:t>
      </w:r>
      <w:r>
        <w:t>可采用风险等级矩阵法进行风险</w:t>
      </w:r>
      <w:r>
        <w:rPr>
          <w:rFonts w:hint="eastAsia"/>
        </w:rPr>
        <w:t>评价</w:t>
      </w:r>
      <w:r>
        <w:t>，也可根据自身情况和工程项目施工实际选择</w:t>
      </w:r>
      <w:r>
        <w:rPr>
          <w:rFonts w:hint="eastAsia"/>
        </w:rPr>
        <w:t>其他</w:t>
      </w:r>
      <w:r>
        <w:t>适宜的风险</w:t>
      </w:r>
      <w:r>
        <w:rPr>
          <w:rFonts w:hint="eastAsia"/>
        </w:rPr>
        <w:t>评价方法，或者同时采用几种风险评价方法互相验证，确保风险评估的准确性，风险评价方法包括但不限于：</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检查表单法；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文件审查法；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客观概率统计分析法；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归纳推理技术分析法；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专家调查法；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故障树分析法；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层次分析法；</w:t>
      </w:r>
    </w:p>
    <w:p w:rsidR="001C66B0" w:rsidRDefault="00D005FC">
      <w:pPr>
        <w:pStyle w:val="a6"/>
        <w:numPr>
          <w:ilvl w:val="0"/>
          <w:numId w:val="56"/>
        </w:numPr>
        <w:tabs>
          <w:tab w:val="left" w:pos="567"/>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风险矩阵分析法。</w:t>
      </w:r>
    </w:p>
    <w:p w:rsidR="001C66B0" w:rsidRDefault="00D005FC">
      <w:pPr>
        <w:pStyle w:val="2"/>
        <w:spacing w:before="120"/>
      </w:pPr>
      <w:bookmarkStart w:id="59" w:name="_Toc176713669"/>
      <w:r>
        <w:rPr>
          <w:rFonts w:hint="eastAsia"/>
        </w:rPr>
        <w:t>保险风险等级划分</w:t>
      </w:r>
      <w:bookmarkEnd w:id="59"/>
    </w:p>
    <w:p w:rsidR="001C66B0" w:rsidRDefault="00D005FC">
      <w:pPr>
        <w:pStyle w:val="3"/>
      </w:pPr>
      <w:r>
        <w:rPr>
          <w:rFonts w:hint="eastAsia"/>
        </w:rPr>
        <w:t xml:space="preserve"> 建筑工程质量安全综合保险的质量风险等级可划分为正常技术风险、轻微技术风险、中等技术风险、严重技术风险四个级别，以及未能确定风险等级情况下的风险保留状态，风险等级确定应符合表8</w:t>
      </w:r>
      <w:r>
        <w:t>.2.1</w:t>
      </w:r>
      <w:r>
        <w:rPr>
          <w:rFonts w:hint="eastAsia"/>
        </w:rPr>
        <w:t>的规定。</w:t>
      </w:r>
    </w:p>
    <w:p w:rsidR="001C66B0" w:rsidRDefault="00D005FC">
      <w:pPr>
        <w:jc w:val="center"/>
        <w:rPr>
          <w:rFonts w:ascii="宋体" w:eastAsia="宋体" w:hAnsi="宋体"/>
          <w:b/>
        </w:rPr>
      </w:pPr>
      <w:bookmarkStart w:id="60" w:name="_Hlk105221280"/>
      <w:r>
        <w:rPr>
          <w:rFonts w:ascii="宋体" w:eastAsia="宋体" w:hAnsi="宋体" w:hint="eastAsia"/>
          <w:b/>
        </w:rPr>
        <w:t>表8</w:t>
      </w:r>
      <w:r>
        <w:rPr>
          <w:rFonts w:ascii="宋体" w:eastAsia="宋体" w:hAnsi="宋体"/>
          <w:b/>
        </w:rPr>
        <w:t>.2.1</w:t>
      </w:r>
      <w:r>
        <w:rPr>
          <w:rFonts w:ascii="宋体" w:eastAsia="宋体" w:hAnsi="宋体" w:hint="eastAsia"/>
          <w:b/>
        </w:rPr>
        <w:t xml:space="preserve"> 保险质量风险等级划分表</w:t>
      </w:r>
    </w:p>
    <w:tbl>
      <w:tblPr>
        <w:tblStyle w:val="TableNormal"/>
        <w:tblW w:w="7508"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28"/>
        <w:gridCol w:w="5280"/>
      </w:tblGrid>
      <w:tr w:rsidR="001C66B0">
        <w:trPr>
          <w:trHeight w:val="421"/>
          <w:jc w:val="center"/>
        </w:trPr>
        <w:tc>
          <w:tcPr>
            <w:tcW w:w="2228" w:type="dxa"/>
            <w:vAlign w:val="center"/>
          </w:tcPr>
          <w:bookmarkEnd w:id="60"/>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保险质量风险等级</w:t>
            </w:r>
          </w:p>
        </w:tc>
        <w:tc>
          <w:tcPr>
            <w:tcW w:w="5280"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描述</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正常技术风险</w:t>
            </w:r>
          </w:p>
        </w:tc>
        <w:tc>
          <w:tcPr>
            <w:tcW w:w="5280" w:type="dxa"/>
            <w:vAlign w:val="center"/>
          </w:tcPr>
          <w:p w:rsidR="001C66B0" w:rsidRDefault="00D005FC" w:rsidP="00D005FC">
            <w:pPr>
              <w:spacing w:beforeLines="50" w:afterLines="50"/>
              <w:ind w:left="147" w:right="125"/>
              <w:rPr>
                <w:rFonts w:asciiTheme="minorEastAsia" w:hAnsiTheme="minorEastAsia" w:cs="仿宋"/>
                <w:kern w:val="0"/>
                <w:szCs w:val="21"/>
              </w:rPr>
            </w:pPr>
            <w:r>
              <w:rPr>
                <w:rFonts w:asciiTheme="minorEastAsia" w:hAnsiTheme="minorEastAsia" w:cs="仿宋" w:hint="eastAsia"/>
                <w:kern w:val="0"/>
                <w:szCs w:val="21"/>
              </w:rPr>
              <w:t>不</w:t>
            </w:r>
            <w:r>
              <w:rPr>
                <w:rFonts w:asciiTheme="minorEastAsia" w:hAnsiTheme="minorEastAsia" w:cs="仿宋"/>
                <w:kern w:val="0"/>
                <w:szCs w:val="21"/>
              </w:rPr>
              <w:t>影响结构安全、使用安全的质量缺陷</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轻微技术风险</w:t>
            </w:r>
          </w:p>
        </w:tc>
        <w:tc>
          <w:tcPr>
            <w:tcW w:w="5280" w:type="dxa"/>
            <w:vAlign w:val="center"/>
          </w:tcPr>
          <w:p w:rsidR="001C66B0" w:rsidRDefault="00D005FC" w:rsidP="00D005FC">
            <w:pPr>
              <w:spacing w:beforeLines="50" w:afterLines="50"/>
              <w:ind w:left="147" w:right="125"/>
              <w:rPr>
                <w:rFonts w:asciiTheme="minorEastAsia" w:hAnsiTheme="minorEastAsia" w:cs="仿宋"/>
                <w:spacing w:val="-5"/>
                <w:kern w:val="0"/>
                <w:szCs w:val="21"/>
              </w:rPr>
            </w:pPr>
            <w:r>
              <w:rPr>
                <w:rFonts w:asciiTheme="minorEastAsia" w:hAnsiTheme="minorEastAsia" w:cs="仿宋" w:hint="eastAsia"/>
                <w:spacing w:val="-5"/>
                <w:kern w:val="0"/>
                <w:szCs w:val="21"/>
              </w:rPr>
              <w:t>不</w:t>
            </w:r>
            <w:r>
              <w:rPr>
                <w:rFonts w:asciiTheme="minorEastAsia" w:hAnsiTheme="minorEastAsia" w:cs="仿宋"/>
                <w:spacing w:val="-5"/>
                <w:kern w:val="0"/>
                <w:szCs w:val="21"/>
              </w:rPr>
              <w:t>影响结构安全、使用安全，轻微影响使用功能，或发</w:t>
            </w:r>
            <w:r>
              <w:rPr>
                <w:rFonts w:asciiTheme="minorEastAsia" w:hAnsiTheme="minorEastAsia" w:cs="仿宋"/>
                <w:kern w:val="0"/>
                <w:szCs w:val="21"/>
              </w:rPr>
              <w:t>生概率低，可能造成轻微</w:t>
            </w:r>
            <w:r>
              <w:rPr>
                <w:rFonts w:asciiTheme="minorEastAsia" w:hAnsiTheme="minorEastAsia" w:cs="仿宋" w:hint="eastAsia"/>
                <w:kern w:val="0"/>
                <w:szCs w:val="21"/>
              </w:rPr>
              <w:t>物质</w:t>
            </w:r>
            <w:r>
              <w:rPr>
                <w:rFonts w:asciiTheme="minorEastAsia" w:hAnsiTheme="minorEastAsia" w:cs="仿宋"/>
                <w:kern w:val="0"/>
                <w:szCs w:val="21"/>
              </w:rPr>
              <w:t>损失的质量缺陷</w:t>
            </w:r>
          </w:p>
        </w:tc>
      </w:tr>
      <w:tr w:rsidR="001C66B0">
        <w:trPr>
          <w:trHeight w:val="573"/>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中等技术风险</w:t>
            </w:r>
          </w:p>
        </w:tc>
        <w:tc>
          <w:tcPr>
            <w:tcW w:w="5280" w:type="dxa"/>
            <w:vAlign w:val="center"/>
          </w:tcPr>
          <w:p w:rsidR="001C66B0" w:rsidRDefault="00D005FC" w:rsidP="00D005FC">
            <w:pPr>
              <w:spacing w:beforeLines="50" w:afterLines="50"/>
              <w:ind w:left="147" w:right="125"/>
              <w:rPr>
                <w:rFonts w:asciiTheme="minorEastAsia" w:hAnsiTheme="minorEastAsia" w:cs="仿宋"/>
                <w:kern w:val="0"/>
                <w:szCs w:val="21"/>
              </w:rPr>
            </w:pPr>
            <w:r>
              <w:rPr>
                <w:rFonts w:asciiTheme="minorEastAsia" w:hAnsiTheme="minorEastAsia" w:cs="仿宋"/>
                <w:spacing w:val="-5"/>
                <w:kern w:val="0"/>
                <w:szCs w:val="21"/>
              </w:rPr>
              <w:t>影响结构安全、使用安全、使用功能，可能造成一定</w:t>
            </w:r>
            <w:r>
              <w:rPr>
                <w:rFonts w:asciiTheme="minorEastAsia" w:hAnsiTheme="minorEastAsia" w:cs="仿宋"/>
                <w:kern w:val="0"/>
                <w:szCs w:val="21"/>
              </w:rPr>
              <w:t>的</w:t>
            </w:r>
            <w:r>
              <w:rPr>
                <w:rFonts w:asciiTheme="minorEastAsia" w:hAnsiTheme="minorEastAsia" w:cs="仿宋" w:hint="eastAsia"/>
                <w:kern w:val="0"/>
                <w:szCs w:val="21"/>
              </w:rPr>
              <w:t>物质</w:t>
            </w:r>
            <w:r>
              <w:rPr>
                <w:rFonts w:asciiTheme="minorEastAsia" w:hAnsiTheme="minorEastAsia" w:cs="仿宋"/>
                <w:kern w:val="0"/>
                <w:szCs w:val="21"/>
              </w:rPr>
              <w:t>损失的质量缺陷</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严重技术风险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spacing w:val="-1"/>
                <w:kern w:val="0"/>
                <w:szCs w:val="21"/>
              </w:rPr>
              <w:t>严重影响建筑物结构安全、使用安全，或事故频率高，</w:t>
            </w:r>
            <w:r>
              <w:rPr>
                <w:rFonts w:asciiTheme="minorEastAsia" w:hAnsiTheme="minorEastAsia" w:cs="仿宋"/>
                <w:spacing w:val="-6"/>
                <w:kern w:val="0"/>
                <w:szCs w:val="21"/>
              </w:rPr>
              <w:t>严重影响建筑物使用功能的质量缺陷，可能造成严重的</w:t>
            </w:r>
            <w:r>
              <w:rPr>
                <w:rFonts w:asciiTheme="minorEastAsia" w:hAnsiTheme="minorEastAsia" w:cs="仿宋" w:hint="eastAsia"/>
                <w:kern w:val="0"/>
                <w:szCs w:val="21"/>
              </w:rPr>
              <w:t>物质</w:t>
            </w:r>
            <w:r>
              <w:rPr>
                <w:rFonts w:asciiTheme="minorEastAsia" w:hAnsiTheme="minorEastAsia" w:cs="仿宋"/>
                <w:kern w:val="0"/>
                <w:szCs w:val="21"/>
              </w:rPr>
              <w:t>损失</w:t>
            </w:r>
          </w:p>
        </w:tc>
      </w:tr>
    </w:tbl>
    <w:p w:rsidR="001C66B0" w:rsidRDefault="001C66B0"/>
    <w:p w:rsidR="001C66B0" w:rsidRDefault="00D005FC">
      <w:pPr>
        <w:jc w:val="center"/>
        <w:rPr>
          <w:bCs/>
        </w:rPr>
      </w:pPr>
      <w:r>
        <w:rPr>
          <w:rFonts w:ascii="宋体" w:eastAsia="宋体" w:hAnsi="宋体" w:hint="eastAsia"/>
          <w:bCs/>
        </w:rPr>
        <w:lastRenderedPageBreak/>
        <w:t>续表8</w:t>
      </w:r>
      <w:r>
        <w:rPr>
          <w:rFonts w:ascii="宋体" w:eastAsia="宋体" w:hAnsi="宋体"/>
          <w:bCs/>
        </w:rPr>
        <w:t>.2.1</w:t>
      </w:r>
    </w:p>
    <w:tbl>
      <w:tblPr>
        <w:tblStyle w:val="TableNormal"/>
        <w:tblW w:w="7508"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28"/>
        <w:gridCol w:w="5280"/>
      </w:tblGrid>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b/>
                <w:kern w:val="0"/>
                <w:szCs w:val="21"/>
              </w:rPr>
              <w:t>保险质量风险等级</w:t>
            </w:r>
          </w:p>
        </w:tc>
        <w:tc>
          <w:tcPr>
            <w:tcW w:w="5280" w:type="dxa"/>
            <w:vAlign w:val="center"/>
          </w:tcPr>
          <w:p w:rsidR="001C66B0" w:rsidRDefault="00D005FC" w:rsidP="00D005FC">
            <w:pPr>
              <w:spacing w:beforeLines="50" w:afterLines="50"/>
              <w:ind w:left="147" w:right="32"/>
              <w:jc w:val="center"/>
              <w:rPr>
                <w:rFonts w:asciiTheme="minorEastAsia" w:hAnsiTheme="minorEastAsia" w:cs="仿宋"/>
                <w:kern w:val="0"/>
                <w:szCs w:val="21"/>
              </w:rPr>
            </w:pPr>
            <w:r>
              <w:rPr>
                <w:rFonts w:asciiTheme="minorEastAsia" w:hAnsiTheme="minorEastAsia" w:cs="仿宋" w:hint="eastAsia"/>
                <w:b/>
                <w:kern w:val="0"/>
                <w:szCs w:val="21"/>
              </w:rPr>
              <w:t>描述</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风险保留</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未能查见相关的资料以</w:t>
            </w:r>
            <w:r>
              <w:rPr>
                <w:rFonts w:hint="eastAsia"/>
              </w:rPr>
              <w:t>确定</w:t>
            </w:r>
            <w:r>
              <w:rPr>
                <w:rFonts w:asciiTheme="minorEastAsia" w:hAnsiTheme="minorEastAsia" w:cs="仿宋" w:hint="eastAsia"/>
                <w:kern w:val="0"/>
                <w:szCs w:val="21"/>
              </w:rPr>
              <w:t>风险等级情况</w:t>
            </w:r>
            <w:r>
              <w:rPr>
                <w:rFonts w:asciiTheme="minorEastAsia" w:hAnsiTheme="minorEastAsia" w:cs="仿宋"/>
                <w:kern w:val="0"/>
                <w:szCs w:val="21"/>
              </w:rPr>
              <w:t>，需有进一步的资料证明其实际风险等级</w:t>
            </w:r>
          </w:p>
        </w:tc>
      </w:tr>
    </w:tbl>
    <w:p w:rsidR="001C66B0" w:rsidRDefault="001C66B0">
      <w:pPr>
        <w:pStyle w:val="a6"/>
        <w:tabs>
          <w:tab w:val="left" w:pos="142"/>
        </w:tabs>
        <w:spacing w:line="360" w:lineRule="auto"/>
        <w:ind w:left="993" w:rightChars="-34" w:right="-71"/>
      </w:pPr>
      <w:bookmarkStart w:id="61" w:name="_Toc524008582"/>
    </w:p>
    <w:p w:rsidR="001C66B0" w:rsidRDefault="00D005FC">
      <w:pPr>
        <w:pStyle w:val="3"/>
      </w:pPr>
      <w:r>
        <w:rPr>
          <w:rFonts w:hint="eastAsia"/>
        </w:rPr>
        <w:t>建筑工程质量安全综合保险的施工安全风险等级</w:t>
      </w:r>
      <w:bookmarkEnd w:id="61"/>
      <w:r>
        <w:rPr>
          <w:rFonts w:hint="eastAsia"/>
        </w:rPr>
        <w:t>可划分为低风险、中风险、较高、高风险四个级别，</w:t>
      </w:r>
      <w:bookmarkStart w:id="62" w:name="_Hlk105221437"/>
      <w:r>
        <w:rPr>
          <w:rFonts w:hint="eastAsia"/>
        </w:rPr>
        <w:t>风险等级确定应符合8</w:t>
      </w:r>
      <w:r>
        <w:t>.2.2</w:t>
      </w:r>
      <w:r>
        <w:rPr>
          <w:rFonts w:hint="eastAsia"/>
        </w:rPr>
        <w:t>的规定。</w:t>
      </w:r>
    </w:p>
    <w:bookmarkEnd w:id="62"/>
    <w:p w:rsidR="001C66B0" w:rsidRDefault="00D005FC">
      <w:pPr>
        <w:jc w:val="center"/>
      </w:pPr>
      <w:r>
        <w:rPr>
          <w:rFonts w:ascii="宋体" w:eastAsia="宋体" w:hAnsi="宋体" w:hint="eastAsia"/>
          <w:b/>
        </w:rPr>
        <w:t>表8</w:t>
      </w:r>
      <w:r>
        <w:rPr>
          <w:rFonts w:ascii="宋体" w:eastAsia="宋体" w:hAnsi="宋体"/>
          <w:b/>
        </w:rPr>
        <w:t xml:space="preserve">.2.2  </w:t>
      </w:r>
      <w:r>
        <w:rPr>
          <w:rFonts w:ascii="宋体" w:eastAsia="宋体" w:hAnsi="宋体" w:hint="eastAsia"/>
          <w:b/>
        </w:rPr>
        <w:t>保险施工安全风险等级划分表</w:t>
      </w:r>
    </w:p>
    <w:tbl>
      <w:tblPr>
        <w:tblStyle w:val="TableNormal"/>
        <w:tblW w:w="7508"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28"/>
        <w:gridCol w:w="5280"/>
      </w:tblGrid>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保险安全风险等级</w:t>
            </w:r>
          </w:p>
        </w:tc>
        <w:tc>
          <w:tcPr>
            <w:tcW w:w="5280"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描述</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kern w:val="0"/>
                <w:szCs w:val="21"/>
              </w:rPr>
              <w:t>低风险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现场的施工安全风险管控难度较小，风险后果较轻，可能引发数量较少人员受伤或经济损失较少</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kern w:val="0"/>
                <w:szCs w:val="21"/>
              </w:rPr>
              <w:t>一般风险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现场的施工安全风险管控难度一般，风险后果一般，可能引发数量较多人员重伤或造成一定的经济损失</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kern w:val="0"/>
                <w:szCs w:val="21"/>
              </w:rPr>
              <w:t>较大风险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现场的施工安全风险管控难度较大，风险后果较严重，极易引发一般生产安全事故或造成一般经济损失</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kern w:val="0"/>
                <w:szCs w:val="21"/>
              </w:rPr>
              <w:t>重大风险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现场的施工安全风险管控难度很大，风险后果很严重，极易引发群死群伤事故、造成较大经济损失</w:t>
            </w:r>
          </w:p>
        </w:tc>
      </w:tr>
    </w:tbl>
    <w:p w:rsidR="001C66B0" w:rsidRDefault="00D005FC">
      <w:pPr>
        <w:pStyle w:val="2"/>
        <w:spacing w:before="120"/>
      </w:pPr>
      <w:bookmarkStart w:id="63" w:name="_Toc176713670"/>
      <w:r>
        <w:rPr>
          <w:rFonts w:hint="eastAsia"/>
        </w:rPr>
        <w:t>风险分级管控措施</w:t>
      </w:r>
      <w:bookmarkEnd w:id="63"/>
    </w:p>
    <w:p w:rsidR="001C66B0" w:rsidRDefault="00D005FC">
      <w:pPr>
        <w:pStyle w:val="3"/>
      </w:pPr>
      <w:r>
        <w:rPr>
          <w:rFonts w:hint="eastAsia"/>
        </w:rPr>
        <w:t>质量风险应根据严重程度进行采取分级管控措施，管控措施应符合表8.</w:t>
      </w:r>
      <w:r>
        <w:t>3</w:t>
      </w:r>
      <w:r>
        <w:rPr>
          <w:rFonts w:hint="eastAsia"/>
        </w:rPr>
        <w:t>.</w:t>
      </w:r>
      <w:r>
        <w:t>1</w:t>
      </w:r>
      <w:r>
        <w:rPr>
          <w:rFonts w:hint="eastAsia"/>
        </w:rPr>
        <w:t>的规定。</w:t>
      </w:r>
    </w:p>
    <w:p w:rsidR="001C66B0" w:rsidRDefault="00D005FC">
      <w:pPr>
        <w:jc w:val="center"/>
      </w:pPr>
      <w:r>
        <w:rPr>
          <w:rFonts w:ascii="宋体" w:eastAsia="宋体" w:hAnsi="宋体" w:hint="eastAsia"/>
          <w:b/>
        </w:rPr>
        <w:t>表8</w:t>
      </w:r>
      <w:r>
        <w:rPr>
          <w:rFonts w:ascii="宋体" w:eastAsia="宋体" w:hAnsi="宋体"/>
          <w:b/>
        </w:rPr>
        <w:t xml:space="preserve">.3.1  </w:t>
      </w:r>
      <w:r>
        <w:rPr>
          <w:rFonts w:ascii="宋体" w:eastAsia="宋体" w:hAnsi="宋体" w:hint="eastAsia"/>
          <w:b/>
        </w:rPr>
        <w:t>保险质量风险分级管控措施分表</w:t>
      </w:r>
    </w:p>
    <w:tbl>
      <w:tblPr>
        <w:tblStyle w:val="TableNormal1"/>
        <w:tblW w:w="750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28"/>
        <w:gridCol w:w="5280"/>
      </w:tblGrid>
      <w:tr w:rsidR="001C66B0">
        <w:trPr>
          <w:trHeight w:val="571"/>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保险质量风险等级</w:t>
            </w:r>
          </w:p>
        </w:tc>
        <w:tc>
          <w:tcPr>
            <w:tcW w:w="5280"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b/>
                <w:kern w:val="0"/>
                <w:szCs w:val="21"/>
              </w:rPr>
              <w:t>风险</w:t>
            </w:r>
            <w:r>
              <w:rPr>
                <w:rFonts w:asciiTheme="minorEastAsia" w:hAnsiTheme="minorEastAsia" w:cs="仿宋" w:hint="eastAsia"/>
                <w:b/>
                <w:kern w:val="0"/>
                <w:szCs w:val="21"/>
              </w:rPr>
              <w:t>分级管控</w:t>
            </w:r>
            <w:r>
              <w:rPr>
                <w:rFonts w:asciiTheme="minorEastAsia" w:hAnsiTheme="minorEastAsia" w:cs="仿宋"/>
                <w:b/>
                <w:kern w:val="0"/>
                <w:szCs w:val="21"/>
              </w:rPr>
              <w:t>措施</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正常</w:t>
            </w:r>
            <w:r>
              <w:rPr>
                <w:rFonts w:asciiTheme="minorEastAsia" w:hAnsiTheme="minorEastAsia" w:cs="仿宋" w:hint="eastAsia"/>
                <w:kern w:val="0"/>
                <w:szCs w:val="21"/>
              </w:rPr>
              <w:t>技术</w:t>
            </w:r>
            <w:r>
              <w:rPr>
                <w:rFonts w:asciiTheme="minorEastAsia" w:hAnsiTheme="minorEastAsia" w:cs="仿宋"/>
                <w:kern w:val="0"/>
                <w:szCs w:val="21"/>
              </w:rPr>
              <w:t>风险</w:t>
            </w:r>
          </w:p>
        </w:tc>
        <w:tc>
          <w:tcPr>
            <w:tcW w:w="5280" w:type="dxa"/>
            <w:tcBorders>
              <w:bottom w:val="nil"/>
            </w:tcBorders>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一般风险提醒</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轻微</w:t>
            </w:r>
            <w:r>
              <w:rPr>
                <w:rFonts w:asciiTheme="minorEastAsia" w:hAnsiTheme="minorEastAsia" w:cs="仿宋" w:hint="eastAsia"/>
                <w:kern w:val="0"/>
                <w:szCs w:val="21"/>
              </w:rPr>
              <w:t>技术</w:t>
            </w:r>
            <w:r>
              <w:rPr>
                <w:rFonts w:asciiTheme="minorEastAsia" w:hAnsiTheme="minorEastAsia" w:cs="仿宋"/>
                <w:kern w:val="0"/>
                <w:szCs w:val="21"/>
              </w:rPr>
              <w:t>风险</w:t>
            </w:r>
          </w:p>
        </w:tc>
        <w:tc>
          <w:tcPr>
            <w:tcW w:w="5280"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风险提示。</w:t>
            </w:r>
            <w:r>
              <w:rPr>
                <w:rFonts w:asciiTheme="minorEastAsia" w:hAnsiTheme="minorEastAsia" w:cs="仿宋"/>
                <w:kern w:val="0"/>
                <w:szCs w:val="21"/>
              </w:rPr>
              <w:t>相关责任方应确定规避风险应采取的合理措施</w:t>
            </w:r>
            <w:r>
              <w:rPr>
                <w:rFonts w:asciiTheme="minorEastAsia" w:hAnsiTheme="minorEastAsia" w:cs="仿宋" w:hint="eastAsia"/>
                <w:kern w:val="0"/>
                <w:szCs w:val="21"/>
              </w:rPr>
              <w:t>，积极整改，防止同类问题反复出现</w:t>
            </w:r>
          </w:p>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kern w:val="0"/>
                <w:szCs w:val="21"/>
              </w:rPr>
              <w:t>风险管理服务机构应保持关注，</w:t>
            </w:r>
            <w:r>
              <w:rPr>
                <w:rFonts w:asciiTheme="minorEastAsia" w:hAnsiTheme="minorEastAsia" w:cs="仿宋" w:hint="eastAsia"/>
                <w:kern w:val="0"/>
                <w:szCs w:val="21"/>
              </w:rPr>
              <w:t>防止</w:t>
            </w:r>
            <w:r>
              <w:rPr>
                <w:rFonts w:asciiTheme="minorEastAsia" w:hAnsiTheme="minorEastAsia" w:cs="仿宋"/>
                <w:kern w:val="0"/>
                <w:szCs w:val="21"/>
              </w:rPr>
              <w:t>风险水平提高</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hint="eastAsia"/>
                <w:kern w:val="0"/>
                <w:szCs w:val="21"/>
              </w:rPr>
              <w:t>中等技术</w:t>
            </w:r>
            <w:r>
              <w:rPr>
                <w:rFonts w:asciiTheme="minorEastAsia" w:hAnsiTheme="minorEastAsia" w:cs="仿宋"/>
                <w:kern w:val="0"/>
                <w:szCs w:val="21"/>
              </w:rPr>
              <w:t>风险</w:t>
            </w:r>
          </w:p>
        </w:tc>
        <w:tc>
          <w:tcPr>
            <w:tcW w:w="5280" w:type="dxa"/>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风险警示。</w:t>
            </w:r>
            <w:r>
              <w:rPr>
                <w:rFonts w:asciiTheme="minorEastAsia" w:hAnsiTheme="minorEastAsia" w:cs="仿宋"/>
                <w:kern w:val="0"/>
                <w:szCs w:val="21"/>
              </w:rPr>
              <w:t>相关责任方应立即采取整改措施</w:t>
            </w:r>
            <w:r>
              <w:rPr>
                <w:rFonts w:asciiTheme="minorEastAsia" w:hAnsiTheme="minorEastAsia" w:cs="仿宋" w:hint="eastAsia"/>
                <w:kern w:val="0"/>
                <w:szCs w:val="21"/>
              </w:rPr>
              <w:t>，尽快回复风险管理机构</w:t>
            </w:r>
          </w:p>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kern w:val="0"/>
                <w:szCs w:val="21"/>
              </w:rPr>
              <w:t>风险管理服务机构应</w:t>
            </w:r>
            <w:r>
              <w:rPr>
                <w:rFonts w:asciiTheme="minorEastAsia" w:hAnsiTheme="minorEastAsia" w:cs="仿宋" w:hint="eastAsia"/>
                <w:kern w:val="0"/>
                <w:szCs w:val="21"/>
              </w:rPr>
              <w:t>对整改情况评估确认，防止</w:t>
            </w:r>
            <w:r>
              <w:rPr>
                <w:rFonts w:asciiTheme="minorEastAsia" w:hAnsiTheme="minorEastAsia" w:cs="仿宋"/>
                <w:kern w:val="0"/>
                <w:szCs w:val="21"/>
              </w:rPr>
              <w:t>风险水平提高</w:t>
            </w:r>
          </w:p>
        </w:tc>
      </w:tr>
      <w:tr w:rsidR="001C66B0">
        <w:trPr>
          <w:jc w:val="center"/>
        </w:trPr>
        <w:tc>
          <w:tcPr>
            <w:tcW w:w="2228" w:type="dxa"/>
            <w:vAlign w:val="center"/>
          </w:tcPr>
          <w:p w:rsidR="001C66B0" w:rsidRDefault="00D005FC" w:rsidP="00D005FC">
            <w:pPr>
              <w:spacing w:beforeLines="50" w:afterLines="50"/>
              <w:ind w:left="147" w:right="125"/>
              <w:jc w:val="center"/>
              <w:rPr>
                <w:rFonts w:asciiTheme="minorEastAsia" w:hAnsiTheme="minorEastAsia" w:cs="仿宋"/>
                <w:kern w:val="0"/>
                <w:szCs w:val="21"/>
              </w:rPr>
            </w:pPr>
            <w:r>
              <w:rPr>
                <w:rFonts w:asciiTheme="minorEastAsia" w:hAnsiTheme="minorEastAsia" w:cs="仿宋"/>
                <w:kern w:val="0"/>
                <w:szCs w:val="21"/>
              </w:rPr>
              <w:t>严重</w:t>
            </w:r>
            <w:r>
              <w:rPr>
                <w:rFonts w:asciiTheme="minorEastAsia" w:hAnsiTheme="minorEastAsia" w:cs="仿宋" w:hint="eastAsia"/>
                <w:kern w:val="0"/>
                <w:szCs w:val="21"/>
              </w:rPr>
              <w:t>技术</w:t>
            </w:r>
            <w:r>
              <w:rPr>
                <w:rFonts w:asciiTheme="minorEastAsia" w:hAnsiTheme="minorEastAsia" w:cs="仿宋"/>
                <w:kern w:val="0"/>
                <w:szCs w:val="21"/>
              </w:rPr>
              <w:t>风险</w:t>
            </w:r>
          </w:p>
        </w:tc>
        <w:tc>
          <w:tcPr>
            <w:tcW w:w="5280" w:type="dxa"/>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风险警告。</w:t>
            </w:r>
            <w:r>
              <w:rPr>
                <w:rFonts w:asciiTheme="minorEastAsia" w:hAnsiTheme="minorEastAsia" w:cs="仿宋"/>
                <w:kern w:val="0"/>
                <w:szCs w:val="21"/>
              </w:rPr>
              <w:t>相关责任方应立即</w:t>
            </w:r>
            <w:r>
              <w:rPr>
                <w:rFonts w:asciiTheme="minorEastAsia" w:hAnsiTheme="minorEastAsia" w:cs="仿宋" w:hint="eastAsia"/>
                <w:kern w:val="0"/>
                <w:szCs w:val="21"/>
              </w:rPr>
              <w:t>停工</w:t>
            </w:r>
            <w:r>
              <w:rPr>
                <w:rFonts w:asciiTheme="minorEastAsia" w:hAnsiTheme="minorEastAsia" w:cs="仿宋"/>
                <w:kern w:val="0"/>
                <w:szCs w:val="21"/>
              </w:rPr>
              <w:t>采取整改措施，</w:t>
            </w:r>
            <w:r>
              <w:rPr>
                <w:rFonts w:asciiTheme="minorEastAsia" w:hAnsiTheme="minorEastAsia" w:cs="仿宋" w:hint="eastAsia"/>
                <w:kern w:val="0"/>
                <w:szCs w:val="21"/>
              </w:rPr>
              <w:t>第一时间降低风险等级</w:t>
            </w:r>
            <w:r>
              <w:rPr>
                <w:rFonts w:asciiTheme="minorEastAsia" w:hAnsiTheme="minorEastAsia" w:cs="仿宋"/>
                <w:kern w:val="0"/>
                <w:szCs w:val="21"/>
              </w:rPr>
              <w:t xml:space="preserve"> </w:t>
            </w:r>
          </w:p>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kern w:val="0"/>
                <w:szCs w:val="21"/>
              </w:rPr>
              <w:t>风险管理服务机构应</w:t>
            </w:r>
            <w:r>
              <w:rPr>
                <w:rFonts w:asciiTheme="minorEastAsia" w:hAnsiTheme="minorEastAsia" w:cs="仿宋" w:hint="eastAsia"/>
                <w:kern w:val="0"/>
                <w:szCs w:val="21"/>
              </w:rPr>
              <w:t>对整改情况督促整改，评估确认</w:t>
            </w:r>
          </w:p>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立即上报工程质量安全监督机构</w:t>
            </w:r>
          </w:p>
        </w:tc>
      </w:tr>
    </w:tbl>
    <w:p w:rsidR="001C66B0" w:rsidRDefault="00D005FC" w:rsidP="00D005FC">
      <w:pPr>
        <w:pStyle w:val="3"/>
        <w:spacing w:beforeLines="50"/>
      </w:pPr>
      <w:r>
        <w:rPr>
          <w:rFonts w:hint="eastAsia"/>
        </w:rPr>
        <w:lastRenderedPageBreak/>
        <w:t>保险施工安全风险应根据严重程度进行采取分级管控措施，管控措施应符合表8.</w:t>
      </w:r>
      <w:r>
        <w:t>3</w:t>
      </w:r>
      <w:r>
        <w:rPr>
          <w:rFonts w:hint="eastAsia"/>
        </w:rPr>
        <w:t>.</w:t>
      </w:r>
      <w:r>
        <w:t>2</w:t>
      </w:r>
      <w:r>
        <w:rPr>
          <w:rFonts w:hint="eastAsia"/>
        </w:rPr>
        <w:t>的规定。</w:t>
      </w:r>
    </w:p>
    <w:p w:rsidR="001C66B0" w:rsidRDefault="00D005FC">
      <w:pPr>
        <w:jc w:val="center"/>
      </w:pPr>
      <w:r>
        <w:rPr>
          <w:rFonts w:ascii="宋体" w:eastAsia="宋体" w:hAnsi="宋体" w:hint="eastAsia"/>
          <w:b/>
        </w:rPr>
        <w:t>表8</w:t>
      </w:r>
      <w:r>
        <w:rPr>
          <w:rFonts w:ascii="宋体" w:eastAsia="宋体" w:hAnsi="宋体"/>
          <w:b/>
        </w:rPr>
        <w:t xml:space="preserve">.3.2  </w:t>
      </w:r>
      <w:r>
        <w:rPr>
          <w:rFonts w:ascii="宋体" w:eastAsia="宋体" w:hAnsi="宋体" w:hint="eastAsia"/>
          <w:b/>
        </w:rPr>
        <w:t>工程安全风险分级管控措施等级划分表</w:t>
      </w:r>
    </w:p>
    <w:tbl>
      <w:tblPr>
        <w:tblStyle w:val="TableNormal1"/>
        <w:tblW w:w="750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042"/>
        <w:gridCol w:w="5466"/>
      </w:tblGrid>
      <w:tr w:rsidR="001C66B0">
        <w:trPr>
          <w:trHeight w:val="56"/>
          <w:jc w:val="center"/>
        </w:trPr>
        <w:tc>
          <w:tcPr>
            <w:tcW w:w="2042" w:type="dxa"/>
            <w:tcBorders>
              <w:left w:val="single" w:sz="4" w:space="0" w:color="auto"/>
            </w:tcBorders>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hint="eastAsia"/>
                <w:b/>
                <w:kern w:val="0"/>
                <w:szCs w:val="21"/>
              </w:rPr>
              <w:t>保险安全风险等级</w:t>
            </w:r>
          </w:p>
        </w:tc>
        <w:tc>
          <w:tcPr>
            <w:tcW w:w="5466" w:type="dxa"/>
            <w:vAlign w:val="center"/>
          </w:tcPr>
          <w:p w:rsidR="001C66B0" w:rsidRDefault="00D005FC" w:rsidP="00D005FC">
            <w:pPr>
              <w:spacing w:beforeLines="50" w:afterLines="50"/>
              <w:ind w:left="147" w:right="125"/>
              <w:jc w:val="center"/>
              <w:rPr>
                <w:rFonts w:asciiTheme="minorEastAsia" w:hAnsiTheme="minorEastAsia" w:cs="仿宋"/>
                <w:b/>
                <w:kern w:val="0"/>
                <w:szCs w:val="21"/>
              </w:rPr>
            </w:pPr>
            <w:r>
              <w:rPr>
                <w:rFonts w:asciiTheme="minorEastAsia" w:hAnsiTheme="minorEastAsia" w:cs="仿宋"/>
                <w:b/>
                <w:kern w:val="0"/>
                <w:szCs w:val="21"/>
              </w:rPr>
              <w:t>风险</w:t>
            </w:r>
            <w:r>
              <w:rPr>
                <w:rFonts w:asciiTheme="minorEastAsia" w:hAnsiTheme="minorEastAsia" w:cs="仿宋" w:hint="eastAsia"/>
                <w:b/>
                <w:kern w:val="0"/>
                <w:szCs w:val="21"/>
              </w:rPr>
              <w:t>分级管控</w:t>
            </w:r>
            <w:r>
              <w:rPr>
                <w:rFonts w:asciiTheme="minorEastAsia" w:hAnsiTheme="minorEastAsia" w:cs="仿宋"/>
                <w:b/>
                <w:kern w:val="0"/>
                <w:szCs w:val="21"/>
              </w:rPr>
              <w:t>措施</w:t>
            </w:r>
          </w:p>
        </w:tc>
      </w:tr>
      <w:tr w:rsidR="001C66B0">
        <w:trPr>
          <w:jc w:val="center"/>
        </w:trPr>
        <w:tc>
          <w:tcPr>
            <w:tcW w:w="2042" w:type="dxa"/>
            <w:tcBorders>
              <w:left w:val="single" w:sz="4" w:space="0" w:color="auto"/>
              <w:bottom w:val="nil"/>
            </w:tcBorders>
            <w:vAlign w:val="center"/>
          </w:tcPr>
          <w:p w:rsidR="001C66B0" w:rsidRDefault="00D005FC">
            <w:pPr>
              <w:spacing w:before="88"/>
              <w:jc w:val="center"/>
              <w:rPr>
                <w:rFonts w:asciiTheme="minorEastAsia" w:hAnsiTheme="minorEastAsia" w:cstheme="minorEastAsia"/>
                <w:bCs/>
              </w:rPr>
            </w:pPr>
            <w:r>
              <w:rPr>
                <w:rFonts w:asciiTheme="minorEastAsia" w:hAnsiTheme="minorEastAsia" w:cstheme="minorEastAsia" w:hint="eastAsia"/>
                <w:bCs/>
              </w:rPr>
              <w:t>低风险</w:t>
            </w:r>
          </w:p>
        </w:tc>
        <w:tc>
          <w:tcPr>
            <w:tcW w:w="5466" w:type="dxa"/>
            <w:tcBorders>
              <w:bottom w:val="nil"/>
            </w:tcBorders>
            <w:vAlign w:val="center"/>
          </w:tcPr>
          <w:p w:rsidR="001C66B0" w:rsidRDefault="00D005FC" w:rsidP="00D005FC">
            <w:pPr>
              <w:spacing w:beforeLines="50" w:afterLines="50"/>
              <w:ind w:left="147" w:right="32"/>
              <w:rPr>
                <w:rFonts w:ascii="宋体" w:eastAsia="宋体" w:hAnsi="宋体" w:cs="宋体"/>
                <w:kern w:val="0"/>
                <w:szCs w:val="21"/>
              </w:rPr>
            </w:pPr>
            <w:r>
              <w:rPr>
                <w:rFonts w:asciiTheme="minorEastAsia" w:hAnsiTheme="minorEastAsia" w:cs="仿宋" w:hint="eastAsia"/>
                <w:kern w:val="0"/>
                <w:szCs w:val="21"/>
              </w:rPr>
              <w:t>一般风险提醒</w:t>
            </w:r>
          </w:p>
        </w:tc>
      </w:tr>
      <w:tr w:rsidR="001C66B0">
        <w:trPr>
          <w:jc w:val="center"/>
        </w:trPr>
        <w:tc>
          <w:tcPr>
            <w:tcW w:w="2042" w:type="dxa"/>
            <w:vAlign w:val="center"/>
          </w:tcPr>
          <w:p w:rsidR="001C66B0" w:rsidRDefault="00D005FC">
            <w:pPr>
              <w:spacing w:before="88"/>
              <w:jc w:val="center"/>
              <w:rPr>
                <w:rFonts w:asciiTheme="minorEastAsia" w:hAnsiTheme="minorEastAsia" w:cstheme="minorEastAsia"/>
                <w:bCs/>
              </w:rPr>
            </w:pPr>
            <w:r>
              <w:rPr>
                <w:rFonts w:asciiTheme="minorEastAsia" w:hAnsiTheme="minorEastAsia" w:cstheme="minorEastAsia" w:hint="eastAsia"/>
                <w:bCs/>
              </w:rPr>
              <w:t>一般风险</w:t>
            </w:r>
          </w:p>
        </w:tc>
        <w:tc>
          <w:tcPr>
            <w:tcW w:w="5466" w:type="dxa"/>
            <w:vAlign w:val="center"/>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风险提示。</w:t>
            </w:r>
            <w:r>
              <w:rPr>
                <w:rFonts w:asciiTheme="minorEastAsia" w:hAnsiTheme="minorEastAsia" w:cs="仿宋"/>
                <w:kern w:val="0"/>
                <w:szCs w:val="21"/>
              </w:rPr>
              <w:t>相关责任方应确定规避风险应采取的合理措施</w:t>
            </w:r>
            <w:r>
              <w:rPr>
                <w:rFonts w:asciiTheme="minorEastAsia" w:hAnsiTheme="minorEastAsia" w:cs="仿宋" w:hint="eastAsia"/>
                <w:kern w:val="0"/>
                <w:szCs w:val="21"/>
              </w:rPr>
              <w:t>，积极整改，防止同类问题反复出现</w:t>
            </w:r>
          </w:p>
          <w:p w:rsidR="001C66B0" w:rsidRDefault="00D005FC" w:rsidP="00D005FC">
            <w:pPr>
              <w:spacing w:beforeLines="50" w:afterLines="50"/>
              <w:ind w:left="147" w:right="32"/>
              <w:rPr>
                <w:rFonts w:ascii="宋体" w:eastAsia="宋体" w:hAnsi="宋体" w:cs="宋体"/>
                <w:kern w:val="0"/>
                <w:szCs w:val="21"/>
              </w:rPr>
            </w:pPr>
            <w:r>
              <w:rPr>
                <w:rFonts w:asciiTheme="minorEastAsia" w:hAnsiTheme="minorEastAsia" w:cs="仿宋"/>
                <w:kern w:val="0"/>
                <w:szCs w:val="21"/>
              </w:rPr>
              <w:t>风险管理服务机构应保持关注，</w:t>
            </w:r>
            <w:r>
              <w:rPr>
                <w:rFonts w:asciiTheme="minorEastAsia" w:hAnsiTheme="minorEastAsia" w:cs="仿宋" w:hint="eastAsia"/>
                <w:kern w:val="0"/>
                <w:szCs w:val="21"/>
              </w:rPr>
              <w:t>防止</w:t>
            </w:r>
            <w:r>
              <w:rPr>
                <w:rFonts w:asciiTheme="minorEastAsia" w:hAnsiTheme="minorEastAsia" w:cs="仿宋"/>
                <w:kern w:val="0"/>
                <w:szCs w:val="21"/>
              </w:rPr>
              <w:t>风险水平提高</w:t>
            </w:r>
          </w:p>
        </w:tc>
      </w:tr>
      <w:tr w:rsidR="001C66B0">
        <w:trPr>
          <w:jc w:val="center"/>
        </w:trPr>
        <w:tc>
          <w:tcPr>
            <w:tcW w:w="2042" w:type="dxa"/>
            <w:vAlign w:val="center"/>
          </w:tcPr>
          <w:p w:rsidR="001C66B0" w:rsidRDefault="00D005FC">
            <w:pPr>
              <w:spacing w:before="88"/>
              <w:jc w:val="center"/>
              <w:rPr>
                <w:rFonts w:asciiTheme="minorEastAsia" w:hAnsiTheme="minorEastAsia" w:cstheme="minorEastAsia"/>
                <w:bCs/>
              </w:rPr>
            </w:pPr>
            <w:r>
              <w:rPr>
                <w:rFonts w:asciiTheme="minorEastAsia" w:hAnsiTheme="minorEastAsia" w:cstheme="minorEastAsia" w:hint="eastAsia"/>
                <w:bCs/>
              </w:rPr>
              <w:t>较大风险</w:t>
            </w:r>
          </w:p>
        </w:tc>
        <w:tc>
          <w:tcPr>
            <w:tcW w:w="5466" w:type="dxa"/>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风险警示。</w:t>
            </w:r>
            <w:r>
              <w:rPr>
                <w:rFonts w:asciiTheme="minorEastAsia" w:hAnsiTheme="minorEastAsia" w:cs="仿宋"/>
                <w:kern w:val="0"/>
                <w:szCs w:val="21"/>
              </w:rPr>
              <w:t>相关责任方应立即采取整改措施</w:t>
            </w:r>
            <w:r>
              <w:rPr>
                <w:rFonts w:asciiTheme="minorEastAsia" w:hAnsiTheme="minorEastAsia" w:cs="仿宋" w:hint="eastAsia"/>
                <w:kern w:val="0"/>
                <w:szCs w:val="21"/>
              </w:rPr>
              <w:t>，尽快回复风险管理机构</w:t>
            </w:r>
          </w:p>
          <w:p w:rsidR="001C66B0" w:rsidRDefault="00D005FC" w:rsidP="00D005FC">
            <w:pPr>
              <w:spacing w:beforeLines="50" w:afterLines="50"/>
              <w:ind w:left="147" w:right="32"/>
              <w:rPr>
                <w:rFonts w:ascii="宋体" w:eastAsia="宋体" w:hAnsi="宋体" w:cs="宋体"/>
                <w:kern w:val="0"/>
                <w:szCs w:val="21"/>
              </w:rPr>
            </w:pPr>
            <w:r>
              <w:rPr>
                <w:rFonts w:asciiTheme="minorEastAsia" w:hAnsiTheme="minorEastAsia" w:cs="仿宋"/>
                <w:kern w:val="0"/>
                <w:szCs w:val="21"/>
              </w:rPr>
              <w:t>风险管理服务机构应</w:t>
            </w:r>
            <w:r>
              <w:rPr>
                <w:rFonts w:asciiTheme="minorEastAsia" w:hAnsiTheme="minorEastAsia" w:cs="仿宋" w:hint="eastAsia"/>
                <w:kern w:val="0"/>
                <w:szCs w:val="21"/>
              </w:rPr>
              <w:t>对整改情况评估确认，防止</w:t>
            </w:r>
            <w:r>
              <w:rPr>
                <w:rFonts w:asciiTheme="minorEastAsia" w:hAnsiTheme="minorEastAsia" w:cs="仿宋"/>
                <w:kern w:val="0"/>
                <w:szCs w:val="21"/>
              </w:rPr>
              <w:t>风险水平提高</w:t>
            </w:r>
          </w:p>
        </w:tc>
      </w:tr>
      <w:tr w:rsidR="001C66B0">
        <w:trPr>
          <w:jc w:val="center"/>
        </w:trPr>
        <w:tc>
          <w:tcPr>
            <w:tcW w:w="2042" w:type="dxa"/>
            <w:vAlign w:val="center"/>
          </w:tcPr>
          <w:p w:rsidR="001C66B0" w:rsidRDefault="00D005FC">
            <w:pPr>
              <w:spacing w:before="88"/>
              <w:jc w:val="center"/>
              <w:rPr>
                <w:rFonts w:asciiTheme="minorEastAsia" w:hAnsiTheme="minorEastAsia" w:cstheme="minorEastAsia"/>
                <w:bCs/>
              </w:rPr>
            </w:pPr>
            <w:r>
              <w:rPr>
                <w:rFonts w:asciiTheme="minorEastAsia" w:hAnsiTheme="minorEastAsia" w:cstheme="minorEastAsia" w:hint="eastAsia"/>
                <w:bCs/>
              </w:rPr>
              <w:t>重大风险</w:t>
            </w:r>
          </w:p>
        </w:tc>
        <w:tc>
          <w:tcPr>
            <w:tcW w:w="5466" w:type="dxa"/>
          </w:tcPr>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hint="eastAsia"/>
                <w:kern w:val="0"/>
                <w:szCs w:val="21"/>
              </w:rPr>
              <w:t>风险警告。</w:t>
            </w:r>
            <w:r>
              <w:rPr>
                <w:rFonts w:asciiTheme="minorEastAsia" w:hAnsiTheme="minorEastAsia" w:cs="仿宋"/>
                <w:kern w:val="0"/>
                <w:szCs w:val="21"/>
              </w:rPr>
              <w:t>相关责任方应立即</w:t>
            </w:r>
            <w:r>
              <w:rPr>
                <w:rFonts w:asciiTheme="minorEastAsia" w:hAnsiTheme="minorEastAsia" w:cs="仿宋" w:hint="eastAsia"/>
                <w:kern w:val="0"/>
                <w:szCs w:val="21"/>
              </w:rPr>
              <w:t>停工</w:t>
            </w:r>
            <w:r>
              <w:rPr>
                <w:rFonts w:asciiTheme="minorEastAsia" w:hAnsiTheme="minorEastAsia" w:cs="仿宋"/>
                <w:kern w:val="0"/>
                <w:szCs w:val="21"/>
              </w:rPr>
              <w:t>采取整改措施，</w:t>
            </w:r>
            <w:r>
              <w:rPr>
                <w:rFonts w:asciiTheme="minorEastAsia" w:hAnsiTheme="minorEastAsia" w:cs="仿宋" w:hint="eastAsia"/>
                <w:kern w:val="0"/>
                <w:szCs w:val="21"/>
              </w:rPr>
              <w:t>第一时间降低风险等级</w:t>
            </w:r>
          </w:p>
          <w:p w:rsidR="001C66B0" w:rsidRDefault="00D005FC" w:rsidP="00D005FC">
            <w:pPr>
              <w:spacing w:beforeLines="50" w:afterLines="50"/>
              <w:ind w:left="147" w:right="32"/>
              <w:rPr>
                <w:rFonts w:asciiTheme="minorEastAsia" w:hAnsiTheme="minorEastAsia" w:cs="仿宋"/>
                <w:kern w:val="0"/>
                <w:szCs w:val="21"/>
              </w:rPr>
            </w:pPr>
            <w:r>
              <w:rPr>
                <w:rFonts w:asciiTheme="minorEastAsia" w:hAnsiTheme="minorEastAsia" w:cs="仿宋"/>
                <w:kern w:val="0"/>
                <w:szCs w:val="21"/>
              </w:rPr>
              <w:t>风险管理服务机构应</w:t>
            </w:r>
            <w:r>
              <w:rPr>
                <w:rFonts w:asciiTheme="minorEastAsia" w:hAnsiTheme="minorEastAsia" w:cs="仿宋" w:hint="eastAsia"/>
                <w:kern w:val="0"/>
                <w:szCs w:val="21"/>
              </w:rPr>
              <w:t>对整改情况督促整改，评估确认。</w:t>
            </w:r>
          </w:p>
          <w:p w:rsidR="001C66B0" w:rsidRDefault="00D005FC">
            <w:pPr>
              <w:spacing w:before="60" w:line="242" w:lineRule="auto"/>
              <w:ind w:left="105" w:right="99"/>
              <w:rPr>
                <w:rFonts w:ascii="宋体" w:eastAsia="宋体" w:hAnsi="宋体" w:cs="宋体"/>
                <w:kern w:val="0"/>
                <w:szCs w:val="21"/>
              </w:rPr>
            </w:pPr>
            <w:r>
              <w:rPr>
                <w:rFonts w:asciiTheme="minorEastAsia" w:hAnsiTheme="minorEastAsia" w:cs="仿宋" w:hint="eastAsia"/>
                <w:kern w:val="0"/>
                <w:szCs w:val="21"/>
              </w:rPr>
              <w:t>立即上报工程质量安全监督机构</w:t>
            </w:r>
          </w:p>
        </w:tc>
      </w:tr>
    </w:tbl>
    <w:p w:rsidR="001C66B0" w:rsidRDefault="001C66B0">
      <w:pPr>
        <w:tabs>
          <w:tab w:val="left" w:pos="142"/>
        </w:tabs>
        <w:spacing w:line="360" w:lineRule="auto"/>
        <w:ind w:rightChars="-34" w:right="-71" w:firstLine="420"/>
        <w:jc w:val="left"/>
        <w:rPr>
          <w:rFonts w:asciiTheme="minorEastAsia" w:hAnsiTheme="minorEastAsia" w:cstheme="minorEastAsia"/>
          <w:b/>
          <w:bCs/>
        </w:rPr>
      </w:pPr>
    </w:p>
    <w:p w:rsidR="001C66B0" w:rsidRDefault="001C66B0">
      <w:pPr>
        <w:tabs>
          <w:tab w:val="left" w:pos="142"/>
        </w:tabs>
        <w:spacing w:line="360" w:lineRule="auto"/>
        <w:ind w:rightChars="-34" w:right="-71" w:firstLine="420"/>
        <w:jc w:val="left"/>
        <w:rPr>
          <w:rFonts w:asciiTheme="minorEastAsia" w:hAnsiTheme="minorEastAsia" w:cstheme="minorEastAsia"/>
          <w:b/>
          <w:bCs/>
        </w:rPr>
      </w:pPr>
    </w:p>
    <w:p w:rsidR="001C66B0" w:rsidRDefault="00D005FC">
      <w:pPr>
        <w:tabs>
          <w:tab w:val="left" w:pos="142"/>
        </w:tabs>
        <w:spacing w:line="360" w:lineRule="auto"/>
        <w:ind w:rightChars="-34" w:right="-71" w:firstLine="420"/>
        <w:jc w:val="left"/>
        <w:rPr>
          <w:rFonts w:asciiTheme="minorEastAsia" w:hAnsiTheme="minorEastAsia" w:cstheme="minorEastAsia"/>
          <w:b/>
          <w:bCs/>
        </w:rPr>
      </w:pPr>
      <w:r>
        <w:rPr>
          <w:rFonts w:asciiTheme="minorEastAsia" w:hAnsiTheme="minorEastAsia" w:cstheme="minorEastAsia"/>
          <w:b/>
          <w:bCs/>
        </w:rPr>
        <w:br w:type="page"/>
      </w:r>
    </w:p>
    <w:p w:rsidR="001C66B0" w:rsidRDefault="00D005FC">
      <w:pPr>
        <w:pStyle w:val="1"/>
      </w:pPr>
      <w:bookmarkStart w:id="64" w:name="_Toc176713671"/>
      <w:r>
        <w:rPr>
          <w:rFonts w:hint="eastAsia"/>
        </w:rPr>
        <w:lastRenderedPageBreak/>
        <w:t>房屋维修机构资格及管理要求</w:t>
      </w:r>
      <w:bookmarkEnd w:id="64"/>
    </w:p>
    <w:p w:rsidR="001C66B0" w:rsidRDefault="00D005FC">
      <w:pPr>
        <w:pStyle w:val="2"/>
        <w:spacing w:before="120"/>
      </w:pPr>
      <w:bookmarkStart w:id="65" w:name="_Toc176713672"/>
      <w:r>
        <w:rPr>
          <w:rFonts w:hint="eastAsia"/>
        </w:rPr>
        <w:t>一般规定</w:t>
      </w:r>
      <w:bookmarkEnd w:id="65"/>
    </w:p>
    <w:p w:rsidR="001C66B0" w:rsidRDefault="00D005FC">
      <w:pPr>
        <w:pStyle w:val="3"/>
        <w:rPr>
          <w:bCs/>
        </w:rPr>
      </w:pPr>
      <w:r>
        <w:rPr>
          <w:rFonts w:hint="eastAsia"/>
          <w:bCs/>
        </w:rPr>
        <w:t>保险公司应选用具备优良服务能力的房屋维修机构，协助保险公司实施建筑工程质量安全综合保险的理赔维修服务，并与房屋维修机构签订委托维修服务合同。</w:t>
      </w:r>
    </w:p>
    <w:p w:rsidR="001C66B0" w:rsidRDefault="00D005FC">
      <w:pPr>
        <w:pStyle w:val="3"/>
        <w:rPr>
          <w:bCs/>
        </w:rPr>
      </w:pPr>
      <w:r>
        <w:rPr>
          <w:rFonts w:hint="eastAsia"/>
          <w:bCs/>
        </w:rPr>
        <w:t>保险公司选用房屋维修机构应综合考虑服务水平，不应以最低价中标的形式选定房屋维修机构。</w:t>
      </w:r>
    </w:p>
    <w:p w:rsidR="001C66B0" w:rsidRDefault="00D005FC">
      <w:pPr>
        <w:pStyle w:val="3"/>
        <w:rPr>
          <w:bCs/>
        </w:rPr>
      </w:pPr>
      <w:r>
        <w:rPr>
          <w:rFonts w:hint="eastAsia"/>
          <w:bCs/>
        </w:rPr>
        <w:t>保险公司应制定对房屋维修机构的管理办法和考核体系，严格监督、定期考核房屋维修机构服务质量。</w:t>
      </w:r>
    </w:p>
    <w:p w:rsidR="001C66B0" w:rsidRDefault="00D005FC">
      <w:pPr>
        <w:pStyle w:val="2"/>
        <w:spacing w:before="120"/>
      </w:pPr>
      <w:bookmarkStart w:id="66" w:name="_Toc176713673"/>
      <w:r>
        <w:rPr>
          <w:rFonts w:hint="eastAsia"/>
        </w:rPr>
        <w:t>房屋维修机构工作职责及资格要求</w:t>
      </w:r>
      <w:bookmarkEnd w:id="66"/>
    </w:p>
    <w:p w:rsidR="001C66B0" w:rsidRDefault="00D005FC">
      <w:pPr>
        <w:pStyle w:val="3"/>
      </w:pPr>
      <w:r>
        <w:rPr>
          <w:rFonts w:hint="eastAsia"/>
        </w:rPr>
        <w:t>房屋维修机构的工作职责应包括：</w:t>
      </w:r>
    </w:p>
    <w:p w:rsidR="001C66B0" w:rsidRDefault="00D005FC">
      <w:pPr>
        <w:pStyle w:val="a6"/>
        <w:numPr>
          <w:ilvl w:val="0"/>
          <w:numId w:val="57"/>
        </w:numPr>
        <w:tabs>
          <w:tab w:val="left" w:pos="142"/>
        </w:tabs>
        <w:spacing w:line="360" w:lineRule="auto"/>
        <w:ind w:left="142" w:rightChars="-34" w:right="-71" w:firstLine="425"/>
        <w:rPr>
          <w:rFonts w:asciiTheme="minorEastAsia" w:hAnsiTheme="minorEastAsia" w:cstheme="minorEastAsia"/>
          <w:bCs/>
        </w:rPr>
      </w:pPr>
      <w:r>
        <w:rPr>
          <w:rFonts w:ascii="宋体" w:eastAsia="宋体" w:hAnsi="宋体" w:cs="仿宋_GB2312" w:hint="eastAsia"/>
          <w:szCs w:val="32"/>
        </w:rPr>
        <w:t>协</w:t>
      </w:r>
      <w:r>
        <w:rPr>
          <w:rFonts w:asciiTheme="minorEastAsia" w:hAnsiTheme="minorEastAsia" w:cstheme="minorEastAsia" w:hint="eastAsia"/>
          <w:bCs/>
        </w:rPr>
        <w:t>助保险公司进行现场查勘，进行质量问题原因、影响范围、追偿责任分析；</w:t>
      </w:r>
    </w:p>
    <w:p w:rsidR="001C66B0" w:rsidRDefault="00D005FC">
      <w:pPr>
        <w:pStyle w:val="a6"/>
        <w:numPr>
          <w:ilvl w:val="0"/>
          <w:numId w:val="57"/>
        </w:numPr>
        <w:tabs>
          <w:tab w:val="left" w:pos="142"/>
        </w:tabs>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根据保险公司要求，在征得房屋所有权人同意后，对影响业主基本生活、需要紧急抢修的质量问题进行紧急抢修；</w:t>
      </w:r>
    </w:p>
    <w:p w:rsidR="001C66B0" w:rsidRDefault="00D005FC">
      <w:pPr>
        <w:pStyle w:val="a6"/>
        <w:numPr>
          <w:ilvl w:val="0"/>
          <w:numId w:val="57"/>
        </w:numPr>
        <w:tabs>
          <w:tab w:val="left" w:pos="142"/>
        </w:tabs>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 xml:space="preserve">制定维修方案，对于符合保险责任且能明确损失金额的案件，应在24小时内提供维修方案； </w:t>
      </w:r>
    </w:p>
    <w:p w:rsidR="001C66B0" w:rsidRDefault="00D005FC">
      <w:pPr>
        <w:pStyle w:val="a6"/>
        <w:numPr>
          <w:ilvl w:val="0"/>
          <w:numId w:val="57"/>
        </w:numPr>
        <w:tabs>
          <w:tab w:val="left" w:pos="142"/>
        </w:tabs>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根据保险公司要求，组织对质量问题进行维修施工，保障维修质量；</w:t>
      </w:r>
    </w:p>
    <w:p w:rsidR="001C66B0" w:rsidRDefault="00D005FC">
      <w:pPr>
        <w:pStyle w:val="a6"/>
        <w:numPr>
          <w:ilvl w:val="0"/>
          <w:numId w:val="57"/>
        </w:numPr>
        <w:tabs>
          <w:tab w:val="left" w:pos="142"/>
        </w:tabs>
        <w:spacing w:line="360" w:lineRule="auto"/>
        <w:ind w:left="142" w:rightChars="-34" w:right="-71" w:firstLine="425"/>
        <w:rPr>
          <w:rFonts w:asciiTheme="minorEastAsia" w:hAnsiTheme="minorEastAsia" w:cstheme="minorEastAsia"/>
          <w:bCs/>
        </w:rPr>
      </w:pPr>
      <w:r>
        <w:rPr>
          <w:rFonts w:asciiTheme="minorEastAsia" w:hAnsiTheme="minorEastAsia" w:cstheme="minorEastAsia" w:hint="eastAsia"/>
          <w:bCs/>
        </w:rPr>
        <w:t>对于索赔人自行维修解决质量问题的，协助保险公司评估维修费用、检查维修情况；</w:t>
      </w:r>
    </w:p>
    <w:p w:rsidR="001C66B0" w:rsidRDefault="00D005FC">
      <w:pPr>
        <w:pStyle w:val="a6"/>
        <w:numPr>
          <w:ilvl w:val="0"/>
          <w:numId w:val="57"/>
        </w:numPr>
        <w:tabs>
          <w:tab w:val="left" w:pos="142"/>
        </w:tabs>
        <w:spacing w:line="360" w:lineRule="auto"/>
        <w:ind w:left="142" w:rightChars="-34" w:right="-71" w:firstLine="425"/>
        <w:rPr>
          <w:rFonts w:ascii="宋体" w:eastAsia="宋体" w:hAnsi="宋体" w:cs="仿宋_GB2312"/>
          <w:szCs w:val="32"/>
        </w:rPr>
      </w:pPr>
      <w:r>
        <w:rPr>
          <w:rFonts w:asciiTheme="minorEastAsia" w:hAnsiTheme="minorEastAsia" w:cstheme="minorEastAsia" w:hint="eastAsia"/>
          <w:bCs/>
        </w:rPr>
        <w:t>记录和</w:t>
      </w:r>
      <w:r>
        <w:rPr>
          <w:rFonts w:ascii="宋体" w:eastAsia="宋体" w:hAnsi="宋体" w:cs="仿宋_GB2312" w:hint="eastAsia"/>
          <w:szCs w:val="32"/>
        </w:rPr>
        <w:t>归档服务过程资料，包括</w:t>
      </w:r>
      <w:bookmarkStart w:id="67" w:name="_Hlk106021575"/>
      <w:r>
        <w:rPr>
          <w:rFonts w:ascii="宋体" w:eastAsia="宋体" w:hAnsi="宋体" w:cs="仿宋_GB2312" w:hint="eastAsia"/>
          <w:szCs w:val="32"/>
        </w:rPr>
        <w:t>查勘记录、分析报告、维修方案、维修过程记录、维修服务单</w:t>
      </w:r>
      <w:bookmarkEnd w:id="67"/>
      <w:r>
        <w:rPr>
          <w:rFonts w:ascii="宋体" w:eastAsia="宋体" w:hAnsi="宋体" w:cs="仿宋_GB2312" w:hint="eastAsia"/>
          <w:szCs w:val="32"/>
        </w:rPr>
        <w:t>等。</w:t>
      </w:r>
    </w:p>
    <w:p w:rsidR="001C66B0" w:rsidRDefault="00D005FC">
      <w:pPr>
        <w:pStyle w:val="3"/>
      </w:pPr>
      <w:r>
        <w:rPr>
          <w:rFonts w:hint="eastAsia"/>
        </w:rPr>
        <w:t>房屋维修机构应为具有民事权利能力和民事行为能力、依法独立享有民事权利和承担民事义务的法人，并符合以下条件：</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在注册登记或设立分支机构的具有独立经营能力的企业；</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在承保项目所在区设有服务网点及服务团队，具备健全的组织架构；</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具备应急响应机制，能够快速响应保险公司的服务要求，满足调度、维修服务派单要求；</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具备服务投保项目所需要的施工水平和技术能力；</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配备充足的专职服务人员；</w:t>
      </w:r>
    </w:p>
    <w:p w:rsidR="001C66B0" w:rsidRDefault="00D005FC">
      <w:pPr>
        <w:pStyle w:val="a6"/>
        <w:numPr>
          <w:ilvl w:val="0"/>
          <w:numId w:val="58"/>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无因违反工程建设法律法规和强制性标准受到行政处罚的记录；</w:t>
      </w:r>
    </w:p>
    <w:p w:rsidR="001C66B0" w:rsidRDefault="00D005FC">
      <w:pPr>
        <w:pStyle w:val="a6"/>
        <w:numPr>
          <w:ilvl w:val="0"/>
          <w:numId w:val="58"/>
        </w:numPr>
        <w:tabs>
          <w:tab w:val="left" w:pos="142"/>
        </w:tabs>
        <w:spacing w:line="360" w:lineRule="auto"/>
        <w:ind w:left="851" w:rightChars="-34" w:right="-71" w:hanging="284"/>
        <w:rPr>
          <w:rFonts w:ascii="宋体" w:eastAsia="宋体" w:hAnsi="宋体" w:cs="仿宋_GB2312"/>
          <w:szCs w:val="32"/>
        </w:rPr>
      </w:pPr>
      <w:r>
        <w:rPr>
          <w:rFonts w:asciiTheme="minorEastAsia" w:hAnsiTheme="minorEastAsia" w:cstheme="minorEastAsia" w:hint="eastAsia"/>
          <w:bCs/>
        </w:rPr>
        <w:t>具备</w:t>
      </w:r>
      <w:r>
        <w:rPr>
          <w:rFonts w:ascii="宋体" w:eastAsia="宋体" w:hAnsi="宋体" w:cs="仿宋_GB2312" w:hint="eastAsia"/>
          <w:szCs w:val="32"/>
        </w:rPr>
        <w:t>投诉处理及意见反馈机制，保障服务满意度。</w:t>
      </w:r>
    </w:p>
    <w:p w:rsidR="001C66B0" w:rsidRDefault="001C66B0">
      <w:pPr>
        <w:pStyle w:val="a6"/>
        <w:tabs>
          <w:tab w:val="left" w:pos="142"/>
        </w:tabs>
        <w:spacing w:line="360" w:lineRule="auto"/>
        <w:ind w:left="1964" w:rightChars="-34" w:right="-71"/>
        <w:rPr>
          <w:rFonts w:ascii="宋体" w:eastAsia="宋体" w:hAnsi="宋体" w:cs="仿宋_GB2312"/>
          <w:szCs w:val="32"/>
        </w:rPr>
      </w:pPr>
    </w:p>
    <w:p w:rsidR="001C66B0" w:rsidRDefault="001C66B0">
      <w:pPr>
        <w:pStyle w:val="a6"/>
        <w:tabs>
          <w:tab w:val="left" w:pos="142"/>
        </w:tabs>
        <w:spacing w:line="360" w:lineRule="auto"/>
        <w:ind w:left="1964" w:rightChars="-34" w:right="-71"/>
        <w:rPr>
          <w:rFonts w:ascii="宋体" w:eastAsia="宋体" w:hAnsi="宋体" w:cs="仿宋_GB2312"/>
          <w:szCs w:val="32"/>
        </w:rPr>
      </w:pPr>
    </w:p>
    <w:p w:rsidR="001C66B0" w:rsidRDefault="00D005FC">
      <w:pPr>
        <w:pStyle w:val="a6"/>
        <w:tabs>
          <w:tab w:val="left" w:pos="142"/>
        </w:tabs>
        <w:spacing w:line="360" w:lineRule="auto"/>
        <w:ind w:left="1964" w:rightChars="-34" w:right="-71"/>
        <w:rPr>
          <w:rFonts w:ascii="宋体" w:eastAsia="宋体" w:hAnsi="宋体" w:cs="仿宋_GB2312"/>
          <w:szCs w:val="32"/>
        </w:rPr>
      </w:pPr>
      <w:r>
        <w:rPr>
          <w:rFonts w:ascii="宋体" w:eastAsia="宋体" w:hAnsi="宋体" w:cs="仿宋_GB2312" w:hint="eastAsia"/>
          <w:szCs w:val="32"/>
        </w:rPr>
        <w:br w:type="page"/>
      </w:r>
    </w:p>
    <w:p w:rsidR="001C66B0" w:rsidRDefault="00D005FC">
      <w:pPr>
        <w:pStyle w:val="1"/>
      </w:pPr>
      <w:bookmarkStart w:id="68" w:name="_Toc176713674"/>
      <w:r>
        <w:rPr>
          <w:rFonts w:hint="eastAsia"/>
        </w:rPr>
        <w:lastRenderedPageBreak/>
        <w:t>档案管理</w:t>
      </w:r>
      <w:bookmarkEnd w:id="68"/>
    </w:p>
    <w:p w:rsidR="001C66B0" w:rsidRDefault="00D005FC">
      <w:pPr>
        <w:pStyle w:val="3"/>
        <w:numPr>
          <w:ilvl w:val="2"/>
          <w:numId w:val="59"/>
        </w:numPr>
        <w:ind w:left="0"/>
      </w:pPr>
      <w:r>
        <w:rPr>
          <w:rFonts w:hint="eastAsia"/>
        </w:rPr>
        <w:t>保险公司、风险管理机构、房屋维修机构对建筑工程质量安全综合保险的档案管理应遵守《财产保险业务档案管理规范</w:t>
      </w:r>
      <w:r>
        <w:rPr>
          <w:rFonts w:ascii="宋体" w:eastAsia="宋体" w:hAnsi="宋体" w:hint="eastAsia"/>
        </w:rPr>
        <w:t>》（</w:t>
      </w:r>
      <w:r>
        <w:rPr>
          <w:rFonts w:ascii="宋体" w:eastAsia="宋体" w:hAnsi="宋体"/>
        </w:rPr>
        <w:t>DA/T86</w:t>
      </w:r>
      <w:r>
        <w:rPr>
          <w:rFonts w:ascii="宋体" w:eastAsia="宋体" w:hAnsi="宋体" w:hint="eastAsia"/>
        </w:rPr>
        <w:t>）等相关标准的</w:t>
      </w:r>
      <w:r>
        <w:rPr>
          <w:rFonts w:hint="eastAsia"/>
        </w:rPr>
        <w:t>规定。</w:t>
      </w:r>
    </w:p>
    <w:p w:rsidR="001C66B0" w:rsidRDefault="00D005FC">
      <w:pPr>
        <w:pStyle w:val="3"/>
        <w:numPr>
          <w:ilvl w:val="2"/>
          <w:numId w:val="59"/>
        </w:numPr>
        <w:ind w:left="0"/>
      </w:pPr>
      <w:r>
        <w:rPr>
          <w:rFonts w:hint="eastAsia"/>
        </w:rPr>
        <w:t>保险公司应组织整理建筑工程质量安全综合保险的文件资料并归档，存档时间不应低于保险责任年限期限。</w:t>
      </w:r>
    </w:p>
    <w:p w:rsidR="001C66B0" w:rsidRDefault="00D005FC">
      <w:pPr>
        <w:pStyle w:val="3"/>
        <w:numPr>
          <w:ilvl w:val="2"/>
          <w:numId w:val="59"/>
        </w:numPr>
        <w:ind w:left="0"/>
      </w:pPr>
      <w:r>
        <w:rPr>
          <w:rFonts w:hint="eastAsia"/>
        </w:rPr>
        <w:t>风险管理机构应建立完善的项目风险管理档案文件管理与保管制度，按照“一项目一档案”原则，在服务的全过程做好服务资料的收集、整理和归档。</w:t>
      </w:r>
    </w:p>
    <w:p w:rsidR="001C66B0" w:rsidRDefault="00D005FC">
      <w:pPr>
        <w:pStyle w:val="3"/>
        <w:numPr>
          <w:ilvl w:val="2"/>
          <w:numId w:val="59"/>
        </w:numPr>
        <w:ind w:left="0"/>
      </w:pPr>
      <w:r>
        <w:rPr>
          <w:rFonts w:hint="eastAsia"/>
        </w:rPr>
        <w:t>风险管理服务档案文件应由保险公司和风险管理机构同时留存保管，保管期限为项目竣工验收合格后15年，风险管理机构应在回访期结束前15个工作日将档案文件提交保险公司。风险管理机构宜采取信息化手段进行档案文件管理。</w:t>
      </w:r>
    </w:p>
    <w:p w:rsidR="001C66B0" w:rsidRDefault="00D005FC">
      <w:pPr>
        <w:pStyle w:val="3"/>
        <w:numPr>
          <w:ilvl w:val="2"/>
          <w:numId w:val="59"/>
        </w:numPr>
        <w:ind w:left="0"/>
      </w:pPr>
      <w:r>
        <w:rPr>
          <w:rFonts w:hint="eastAsia"/>
        </w:rPr>
        <w:t>信息化档案的管理应通过信息管理平台进行，投保项目信息化档案的收集应与其承保、理赔和风险管理工作同步进行，保险公司和风险管理机构应及时进行信息化资料整理和上传，通过信息管理平台储存、传递和检索，实现信息化档案的标准化、规范化、系统化。</w:t>
      </w:r>
    </w:p>
    <w:p w:rsidR="001C66B0" w:rsidRDefault="00D005FC">
      <w:pPr>
        <w:pStyle w:val="3"/>
        <w:numPr>
          <w:ilvl w:val="2"/>
          <w:numId w:val="59"/>
        </w:numPr>
        <w:ind w:left="0"/>
      </w:pPr>
      <w:r>
        <w:rPr>
          <w:rFonts w:hint="eastAsia"/>
        </w:rPr>
        <w:t>投保项目回访期结束后，风险管理机构应配合保险公司做好风险管理档案的利用工作，根据项目理赔申请，检索调阅风险管理档案文件，配合保险公司的理赔工作。</w:t>
      </w:r>
    </w:p>
    <w:p w:rsidR="001C66B0" w:rsidRDefault="00D005FC">
      <w:pPr>
        <w:pStyle w:val="3"/>
        <w:numPr>
          <w:ilvl w:val="2"/>
          <w:numId w:val="59"/>
        </w:numPr>
        <w:ind w:left="0"/>
      </w:pPr>
      <w:r>
        <w:rPr>
          <w:rFonts w:hint="eastAsia"/>
        </w:rPr>
        <w:t>房屋维修机构应配合保险公司做好质量问题理赔查勘、房屋维修等资料的收集、归档工作。</w:t>
      </w:r>
    </w:p>
    <w:p w:rsidR="001C66B0" w:rsidRDefault="00D005FC">
      <w:pPr>
        <w:pStyle w:val="3"/>
        <w:numPr>
          <w:ilvl w:val="2"/>
          <w:numId w:val="59"/>
        </w:numPr>
        <w:ind w:left="0"/>
      </w:pPr>
      <w:r>
        <w:rPr>
          <w:rFonts w:hint="eastAsia"/>
        </w:rPr>
        <w:t>建筑工程质量安全综合保险的归档资料应包括下列内容：</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保险合同和风险管理服务合同文件；</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收集到的项目信息和资料文件，包括建设单位、监理单位、施工单位、勘察单位、设计单位、图审等单位的基本信息、项目合同、设计文件、各种管理资料、施工资料、监理资料等；</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风险管理工作计划；</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保险内部作业的风险分析资料；</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外部沟通协调资料，包括会议纪要、质量缺陷风险回复单、专题风险分析、往来文件、邮件等信息；</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过程检查中风险验证所需的检测资料；</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风险管理现场查勘的影像资料和文字记录资料；</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风险评估报告；</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问题清单；</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 回访期的物业维修及质量投诉记录；</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 质量理赔查勘记录、问题成因分析报告、维修过程记录；</w:t>
      </w:r>
    </w:p>
    <w:p w:rsidR="001C66B0" w:rsidRDefault="00D005FC">
      <w:pPr>
        <w:pStyle w:val="a6"/>
        <w:numPr>
          <w:ilvl w:val="0"/>
          <w:numId w:val="60"/>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 xml:space="preserve"> 其他相关资料。</w:t>
      </w:r>
      <w:r>
        <w:rPr>
          <w:rFonts w:asciiTheme="minorEastAsia" w:hAnsiTheme="minorEastAsia" w:cstheme="minorEastAsia"/>
          <w:bCs/>
        </w:rPr>
        <w:br w:type="page"/>
      </w:r>
    </w:p>
    <w:p w:rsidR="001C66B0" w:rsidRDefault="00D005FC">
      <w:pPr>
        <w:pStyle w:val="1"/>
      </w:pPr>
      <w:bookmarkStart w:id="69" w:name="_Toc176713675"/>
      <w:r>
        <w:rPr>
          <w:rFonts w:hint="eastAsia"/>
        </w:rPr>
        <w:lastRenderedPageBreak/>
        <w:t>信息管理平台</w:t>
      </w:r>
      <w:bookmarkEnd w:id="69"/>
    </w:p>
    <w:p w:rsidR="001C66B0" w:rsidRDefault="00D005FC">
      <w:pPr>
        <w:pStyle w:val="3"/>
        <w:numPr>
          <w:ilvl w:val="2"/>
          <w:numId w:val="61"/>
        </w:numPr>
        <w:ind w:left="0"/>
      </w:pPr>
      <w:r>
        <w:rPr>
          <w:rFonts w:hint="eastAsia"/>
        </w:rPr>
        <w:t>建筑工程质量安全综合保险服务应采用统一的信息管理平台进行管理，保险公司和风险管理机构应将承保、理赔、风险管理等相关数据上传至信息管理平台。</w:t>
      </w:r>
    </w:p>
    <w:p w:rsidR="001C66B0" w:rsidRDefault="00D005FC">
      <w:pPr>
        <w:pStyle w:val="3"/>
        <w:numPr>
          <w:ilvl w:val="2"/>
          <w:numId w:val="61"/>
        </w:numPr>
        <w:ind w:left="0"/>
      </w:pPr>
      <w:r>
        <w:rPr>
          <w:rFonts w:hint="eastAsia"/>
        </w:rPr>
        <w:t>信息管理平台应实现对保险公司、风险管理机构、投保项目等各方的信息化管理，对相关信息进行共享，功能应包括以下方面：</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保险公司资格、服务人员管理；</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风险管理机构资格、服务人员管理；</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保险合同、风险管理服务合同管理；</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风险管理机构评估报告上传、流转；</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风险管理机构检查问题上传，责任单位整改回复，风险管理机构复核闭环；</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形成和完善质量缺陷和安全隐患风险库；</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重大风险分析预警；</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投保项目全过程风险状态展示跟踪；</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工程质量安全管理情况统计分析；</w:t>
      </w:r>
    </w:p>
    <w:p w:rsidR="001C66B0" w:rsidRDefault="00D005FC">
      <w:pPr>
        <w:pStyle w:val="a6"/>
        <w:numPr>
          <w:ilvl w:val="0"/>
          <w:numId w:val="62"/>
        </w:numPr>
        <w:tabs>
          <w:tab w:val="left" w:pos="142"/>
        </w:tabs>
        <w:spacing w:line="360" w:lineRule="auto"/>
        <w:ind w:left="851" w:rightChars="-34" w:right="-71" w:hanging="284"/>
        <w:rPr>
          <w:rFonts w:asciiTheme="minorEastAsia" w:hAnsiTheme="minorEastAsia" w:cstheme="minorEastAsia"/>
          <w:bCs/>
        </w:rPr>
      </w:pPr>
      <w:r>
        <w:rPr>
          <w:rFonts w:asciiTheme="minorEastAsia" w:hAnsiTheme="minorEastAsia" w:cstheme="minorEastAsia" w:hint="eastAsia"/>
          <w:bCs/>
        </w:rPr>
        <w:t>理赔信息上传。</w:t>
      </w:r>
    </w:p>
    <w:p w:rsidR="001C66B0" w:rsidRDefault="00D005FC">
      <w:pPr>
        <w:pStyle w:val="3"/>
        <w:numPr>
          <w:ilvl w:val="2"/>
          <w:numId w:val="61"/>
        </w:numPr>
        <w:ind w:left="0"/>
      </w:pPr>
      <w:r>
        <w:rPr>
          <w:rFonts w:hint="eastAsia"/>
        </w:rPr>
        <w:t>风险管理机构应及时将检查发现的问题及处理意见等信息提交至信息管理平台，由信息管理平台推送到投保项目建设单位，建设单位应及时将整改结果上传信息管理平台，由风险管理机构对整改情况进行跟踪、评估、销项工作。</w:t>
      </w:r>
    </w:p>
    <w:p w:rsidR="001C66B0" w:rsidRDefault="00D005FC">
      <w:pPr>
        <w:pStyle w:val="3"/>
        <w:numPr>
          <w:ilvl w:val="2"/>
          <w:numId w:val="61"/>
        </w:numPr>
        <w:ind w:left="0"/>
      </w:pPr>
      <w:r>
        <w:rPr>
          <w:rFonts w:hint="eastAsia"/>
        </w:rPr>
        <w:t>信息管理平台应保障信息安全，符合《信息安全技术—网络安全等级保护基本要求》（G</w:t>
      </w:r>
      <w:r>
        <w:t>B/T22239</w:t>
      </w:r>
      <w:r>
        <w:rPr>
          <w:rFonts w:hint="eastAsia"/>
        </w:rPr>
        <w:t>）的规定。</w:t>
      </w:r>
    </w:p>
    <w:p w:rsidR="001C66B0" w:rsidRDefault="00D005FC">
      <w:pPr>
        <w:pStyle w:val="3"/>
        <w:numPr>
          <w:ilvl w:val="2"/>
          <w:numId w:val="61"/>
        </w:numPr>
        <w:ind w:left="0"/>
      </w:pPr>
      <w:r>
        <w:rPr>
          <w:rFonts w:hint="eastAsia"/>
        </w:rPr>
        <w:t>保险公司宜建立数据信息平台，记录相关投保项目的赔付情况，收集相关参建单位履责信息及风险管理情况，利用大数据分析不同材料、工艺对工程质量的影响，推广先进管理经验和生产工艺。</w:t>
      </w:r>
    </w:p>
    <w:p w:rsidR="001C66B0" w:rsidRDefault="001C66B0">
      <w:pPr>
        <w:tabs>
          <w:tab w:val="left" w:pos="142"/>
        </w:tabs>
        <w:spacing w:line="360" w:lineRule="auto"/>
        <w:ind w:rightChars="-34" w:right="-71"/>
        <w:jc w:val="left"/>
        <w:rPr>
          <w:rFonts w:asciiTheme="minorEastAsia" w:hAnsiTheme="minorEastAsia" w:cstheme="minorEastAsia"/>
          <w:bCs/>
        </w:rPr>
      </w:pPr>
    </w:p>
    <w:p w:rsidR="001C66B0" w:rsidRDefault="00D005FC">
      <w:pPr>
        <w:pStyle w:val="3"/>
        <w:numPr>
          <w:ilvl w:val="2"/>
          <w:numId w:val="61"/>
        </w:numPr>
      </w:pPr>
      <w:r>
        <w:br w:type="page"/>
      </w:r>
    </w:p>
    <w:p w:rsidR="001C66B0" w:rsidRDefault="00D005FC">
      <w:pPr>
        <w:pStyle w:val="a6"/>
        <w:tabs>
          <w:tab w:val="left" w:pos="142"/>
        </w:tabs>
        <w:spacing w:line="360" w:lineRule="auto"/>
        <w:ind w:left="425" w:rightChars="-34" w:right="-71"/>
        <w:jc w:val="center"/>
        <w:outlineLvl w:val="0"/>
        <w:rPr>
          <w:rFonts w:asciiTheme="minorEastAsia" w:hAnsiTheme="minorEastAsia" w:cstheme="minorEastAsia"/>
          <w:bCs/>
        </w:rPr>
      </w:pPr>
      <w:bookmarkStart w:id="70" w:name="_Toc176713676"/>
      <w:r>
        <w:rPr>
          <w:rFonts w:asciiTheme="minorEastAsia" w:hAnsiTheme="minorEastAsia" w:cstheme="minorEastAsia" w:hint="eastAsia"/>
          <w:b/>
          <w:bCs/>
        </w:rPr>
        <w:lastRenderedPageBreak/>
        <w:t>附录A 建筑工程质量安全综合保险告知书参考模板</w:t>
      </w:r>
      <w:bookmarkEnd w:id="70"/>
    </w:p>
    <w:p w:rsidR="001C66B0" w:rsidRDefault="001C66B0">
      <w:pPr>
        <w:spacing w:line="360" w:lineRule="auto"/>
        <w:ind w:firstLineChars="200" w:firstLine="420"/>
        <w:rPr>
          <w:rFonts w:asciiTheme="minorEastAsia" w:hAnsiTheme="minorEastAsia" w:cstheme="minorEastAsia"/>
          <w:bCs/>
        </w:rPr>
      </w:pPr>
    </w:p>
    <w:p w:rsidR="001C66B0" w:rsidRDefault="00D005FC">
      <w:pPr>
        <w:jc w:val="center"/>
        <w:rPr>
          <w:rFonts w:ascii="宋体" w:eastAsia="宋体" w:hAnsi="宋体"/>
          <w:b/>
          <w:bCs/>
          <w:szCs w:val="21"/>
        </w:rPr>
      </w:pPr>
      <w:r>
        <w:rPr>
          <w:rFonts w:ascii="宋体" w:eastAsia="宋体" w:hAnsi="宋体" w:hint="eastAsia"/>
          <w:b/>
          <w:bCs/>
          <w:szCs w:val="21"/>
        </w:rPr>
        <w:t>建筑工程质量安全综合保险告知书</w:t>
      </w:r>
    </w:p>
    <w:p w:rsidR="001C66B0" w:rsidRDefault="001C66B0">
      <w:pPr>
        <w:jc w:val="center"/>
        <w:rPr>
          <w:rFonts w:ascii="宋体" w:eastAsia="宋体" w:hAnsi="宋体"/>
          <w:b/>
          <w:bCs/>
          <w:szCs w:val="21"/>
        </w:rPr>
      </w:pPr>
    </w:p>
    <w:p w:rsidR="001C66B0" w:rsidRDefault="00D005FC">
      <w:pPr>
        <w:spacing w:line="360" w:lineRule="auto"/>
        <w:rPr>
          <w:rFonts w:ascii="宋体" w:eastAsia="宋体" w:hAnsi="宋体"/>
          <w:bCs/>
          <w:szCs w:val="21"/>
        </w:rPr>
      </w:pPr>
      <w:r>
        <w:rPr>
          <w:rFonts w:ascii="宋体" w:eastAsia="宋体" w:hAnsi="宋体" w:hint="eastAsia"/>
          <w:bCs/>
          <w:szCs w:val="21"/>
        </w:rPr>
        <w:t>尊敬的业主：</w:t>
      </w:r>
    </w:p>
    <w:p w:rsidR="001C66B0" w:rsidRDefault="00D005FC">
      <w:pPr>
        <w:spacing w:line="360" w:lineRule="auto"/>
        <w:ind w:firstLineChars="200" w:firstLine="420"/>
        <w:rPr>
          <w:rFonts w:ascii="宋体" w:eastAsia="宋体" w:hAnsi="宋体"/>
          <w:bCs/>
          <w:szCs w:val="21"/>
        </w:rPr>
      </w:pPr>
      <w:r>
        <w:rPr>
          <w:rFonts w:ascii="宋体" w:eastAsia="宋体" w:hAnsi="宋体" w:hint="eastAsia"/>
          <w:bCs/>
          <w:szCs w:val="21"/>
        </w:rPr>
        <w:t>开发商_______已为您所购买的______小区住宅向</w:t>
      </w:r>
      <w:r>
        <w:rPr>
          <w:rFonts w:ascii="宋体" w:eastAsia="宋体" w:hAnsi="宋体" w:hint="eastAsia"/>
          <w:bCs/>
          <w:szCs w:val="21"/>
          <w:u w:val="single"/>
        </w:rPr>
        <w:t xml:space="preserve"> </w:t>
      </w:r>
      <w:r>
        <w:rPr>
          <w:rFonts w:ascii="宋体" w:eastAsia="宋体" w:hAnsi="宋体"/>
          <w:bCs/>
          <w:szCs w:val="21"/>
          <w:u w:val="single"/>
        </w:rPr>
        <w:t xml:space="preserve">     </w:t>
      </w:r>
      <w:r>
        <w:rPr>
          <w:rFonts w:ascii="宋体" w:eastAsia="宋体" w:hAnsi="宋体" w:hint="eastAsia"/>
          <w:bCs/>
          <w:szCs w:val="21"/>
        </w:rPr>
        <w:t>保险公司投保《建筑工程质量安全综合保险》，保单号______。为了保障您的权益，现将该保险的保险内容具体说明如下：</w:t>
      </w:r>
    </w:p>
    <w:p w:rsidR="001C66B0" w:rsidRDefault="00D005FC">
      <w:pPr>
        <w:spacing w:line="360" w:lineRule="auto"/>
        <w:ind w:firstLineChars="192" w:firstLine="405"/>
        <w:rPr>
          <w:rFonts w:ascii="宋体" w:eastAsia="宋体" w:hAnsi="宋体"/>
          <w:b/>
          <w:bCs/>
          <w:szCs w:val="21"/>
        </w:rPr>
      </w:pPr>
      <w:r>
        <w:rPr>
          <w:rFonts w:ascii="宋体" w:eastAsia="宋体" w:hAnsi="宋体" w:hint="eastAsia"/>
          <w:b/>
          <w:bCs/>
          <w:szCs w:val="21"/>
        </w:rPr>
        <w:t>一、保险责任</w:t>
      </w:r>
    </w:p>
    <w:p w:rsidR="001C66B0" w:rsidRDefault="00D005FC">
      <w:pPr>
        <w:spacing w:line="360" w:lineRule="auto"/>
        <w:ind w:firstLineChars="200" w:firstLine="420"/>
        <w:rPr>
          <w:rFonts w:ascii="宋体" w:eastAsia="宋体" w:hAnsi="宋体"/>
          <w:bCs/>
          <w:szCs w:val="21"/>
        </w:rPr>
      </w:pPr>
      <w:r>
        <w:rPr>
          <w:rFonts w:ascii="宋体" w:eastAsia="宋体" w:hAnsi="宋体" w:hint="eastAsia"/>
          <w:bCs/>
          <w:szCs w:val="21"/>
        </w:rPr>
        <w:t>1</w:t>
      </w:r>
      <w:r>
        <w:rPr>
          <w:rFonts w:ascii="宋体" w:eastAsia="宋体" w:hAnsi="宋体"/>
          <w:bCs/>
          <w:szCs w:val="21"/>
        </w:rPr>
        <w:t>.</w:t>
      </w:r>
      <w:r>
        <w:rPr>
          <w:rFonts w:ascii="宋体" w:eastAsia="宋体" w:hAnsi="宋体" w:hint="eastAsia"/>
          <w:bCs/>
          <w:szCs w:val="21"/>
        </w:rPr>
        <w:t>保险单载明的建筑工程（以下简称“被保险项目”）竣工验收合格，并经保险人委托的风险管理机构检查通过的，在正常使用条件下，在保险赔偿责任期间内，因工程质量潜在缺陷发生下列情形的事故造成被保险项目物质损坏的，保险人将按照本保险合同的约定负责赔偿修理、加固或重建的费用：</w:t>
      </w:r>
    </w:p>
    <w:tbl>
      <w:tblPr>
        <w:tblW w:w="7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03"/>
        <w:gridCol w:w="2235"/>
      </w:tblGrid>
      <w:tr w:rsidR="001C66B0">
        <w:trPr>
          <w:trHeight w:val="454"/>
          <w:jc w:val="center"/>
        </w:trPr>
        <w:tc>
          <w:tcPr>
            <w:tcW w:w="5703" w:type="dxa"/>
            <w:shd w:val="clear" w:color="auto" w:fill="auto"/>
            <w:vAlign w:val="center"/>
          </w:tcPr>
          <w:p w:rsidR="001C66B0" w:rsidRDefault="00D005FC">
            <w:pPr>
              <w:jc w:val="center"/>
              <w:rPr>
                <w:rFonts w:ascii="宋体" w:eastAsia="宋体" w:hAnsi="宋体"/>
                <w:b/>
                <w:szCs w:val="21"/>
              </w:rPr>
            </w:pPr>
            <w:r>
              <w:rPr>
                <w:rFonts w:ascii="宋体" w:eastAsia="宋体" w:hAnsi="宋体" w:hint="eastAsia"/>
                <w:b/>
                <w:szCs w:val="21"/>
              </w:rPr>
              <w:t>工程质量潜在缺陷保险范围</w:t>
            </w:r>
          </w:p>
        </w:tc>
        <w:tc>
          <w:tcPr>
            <w:tcW w:w="2235" w:type="dxa"/>
            <w:vAlign w:val="center"/>
          </w:tcPr>
          <w:p w:rsidR="001C66B0" w:rsidRDefault="00D005FC">
            <w:pPr>
              <w:jc w:val="center"/>
              <w:rPr>
                <w:rFonts w:ascii="宋体" w:eastAsia="宋体" w:hAnsi="宋体"/>
                <w:b/>
                <w:szCs w:val="21"/>
              </w:rPr>
            </w:pPr>
            <w:r>
              <w:rPr>
                <w:rFonts w:ascii="宋体" w:eastAsia="宋体" w:hAnsi="宋体" w:hint="eastAsia"/>
                <w:b/>
                <w:szCs w:val="21"/>
              </w:rPr>
              <w:t>赔偿责任期间</w:t>
            </w:r>
          </w:p>
        </w:tc>
      </w:tr>
      <w:tr w:rsidR="001C66B0">
        <w:trPr>
          <w:trHeight w:val="2190"/>
          <w:jc w:val="center"/>
        </w:trPr>
        <w:tc>
          <w:tcPr>
            <w:tcW w:w="5703" w:type="dxa"/>
            <w:shd w:val="clear" w:color="auto" w:fill="auto"/>
            <w:vAlign w:val="center"/>
          </w:tcPr>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（一）地基基础工程和主体结构工程：</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1.整体或局部倒塌；</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2.地基产生超出设计规范允许的不均匀沉降；</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3.阳台、雨篷、挑檐等悬挑构件和外墙结构坍塌或出现影响使用安全的裂缝、破损、断裂；</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4.主体承重结构部位出现影响结构安全的裂缝、变形、破损、断裂。</w:t>
            </w:r>
          </w:p>
        </w:tc>
        <w:tc>
          <w:tcPr>
            <w:tcW w:w="2235" w:type="dxa"/>
            <w:vAlign w:val="center"/>
          </w:tcPr>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____年__月__日</w:t>
            </w:r>
          </w:p>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至____年__月__日</w:t>
            </w:r>
          </w:p>
        </w:tc>
      </w:tr>
      <w:tr w:rsidR="001C66B0">
        <w:trPr>
          <w:trHeight w:val="540"/>
          <w:jc w:val="center"/>
        </w:trPr>
        <w:tc>
          <w:tcPr>
            <w:tcW w:w="5703" w:type="dxa"/>
            <w:shd w:val="clear" w:color="auto" w:fill="auto"/>
            <w:vAlign w:val="center"/>
          </w:tcPr>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（二）外围护系统工程：</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外围护系统的保温层破损、脱落。</w:t>
            </w:r>
          </w:p>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（三）防水工程：</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1.地下、屋面、厕浴间防水渗漏；</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2.外墙（包括外窗与外墙交接处）渗漏；</w:t>
            </w:r>
          </w:p>
          <w:p w:rsidR="001C66B0" w:rsidRDefault="00D005FC" w:rsidP="00D005FC">
            <w:pPr>
              <w:autoSpaceDE w:val="0"/>
              <w:autoSpaceDN w:val="0"/>
              <w:snapToGrid w:val="0"/>
              <w:spacing w:beforeLines="50" w:afterLines="50"/>
              <w:ind w:firstLineChars="166" w:firstLine="349"/>
              <w:rPr>
                <w:rFonts w:ascii="宋体" w:eastAsia="宋体" w:hAnsi="宋体"/>
                <w:szCs w:val="21"/>
              </w:rPr>
            </w:pPr>
            <w:r>
              <w:rPr>
                <w:rFonts w:ascii="宋体" w:eastAsia="宋体" w:hAnsi="宋体" w:hint="eastAsia"/>
                <w:szCs w:val="21"/>
              </w:rPr>
              <w:t>3.其他有防水要求的部位渗漏。</w:t>
            </w:r>
          </w:p>
        </w:tc>
        <w:tc>
          <w:tcPr>
            <w:tcW w:w="2235" w:type="dxa"/>
            <w:vAlign w:val="center"/>
          </w:tcPr>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____年__月__日</w:t>
            </w:r>
          </w:p>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至____年__月__日</w:t>
            </w:r>
          </w:p>
        </w:tc>
      </w:tr>
      <w:tr w:rsidR="001C66B0">
        <w:trPr>
          <w:trHeight w:val="540"/>
          <w:jc w:val="center"/>
        </w:trPr>
        <w:tc>
          <w:tcPr>
            <w:tcW w:w="5703" w:type="dxa"/>
            <w:shd w:val="clear" w:color="auto" w:fill="auto"/>
            <w:vAlign w:val="center"/>
          </w:tcPr>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（四）装饰装修工程</w:t>
            </w:r>
          </w:p>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（五）电气管线、给排水管道、设备安装工程</w:t>
            </w:r>
          </w:p>
        </w:tc>
        <w:tc>
          <w:tcPr>
            <w:tcW w:w="2235" w:type="dxa"/>
            <w:vAlign w:val="center"/>
          </w:tcPr>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____年__月__日</w:t>
            </w:r>
          </w:p>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至____年__月__日</w:t>
            </w:r>
          </w:p>
        </w:tc>
      </w:tr>
      <w:tr w:rsidR="001C66B0">
        <w:trPr>
          <w:trHeight w:val="540"/>
          <w:jc w:val="center"/>
        </w:trPr>
        <w:tc>
          <w:tcPr>
            <w:tcW w:w="5703" w:type="dxa"/>
            <w:shd w:val="clear" w:color="auto" w:fill="auto"/>
            <w:vAlign w:val="center"/>
          </w:tcPr>
          <w:p w:rsidR="001C66B0" w:rsidRDefault="00D005FC" w:rsidP="00D005FC">
            <w:pPr>
              <w:autoSpaceDE w:val="0"/>
              <w:autoSpaceDN w:val="0"/>
              <w:snapToGrid w:val="0"/>
              <w:spacing w:beforeLines="50" w:afterLines="50"/>
              <w:rPr>
                <w:rFonts w:ascii="宋体" w:eastAsia="宋体" w:hAnsi="宋体"/>
                <w:szCs w:val="21"/>
              </w:rPr>
            </w:pPr>
            <w:r>
              <w:rPr>
                <w:rFonts w:ascii="宋体" w:eastAsia="宋体" w:hAnsi="宋体" w:hint="eastAsia"/>
                <w:szCs w:val="21"/>
              </w:rPr>
              <w:t>（六）供热与供冷系统工程</w:t>
            </w:r>
          </w:p>
        </w:tc>
        <w:tc>
          <w:tcPr>
            <w:tcW w:w="2235" w:type="dxa"/>
            <w:vAlign w:val="center"/>
          </w:tcPr>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____年__月__日</w:t>
            </w:r>
          </w:p>
          <w:p w:rsidR="001C66B0" w:rsidRDefault="00D005FC" w:rsidP="00D005FC">
            <w:pPr>
              <w:autoSpaceDE w:val="0"/>
              <w:autoSpaceDN w:val="0"/>
              <w:snapToGrid w:val="0"/>
              <w:spacing w:beforeLines="50" w:afterLines="50"/>
              <w:ind w:firstLineChars="16" w:firstLine="34"/>
              <w:jc w:val="center"/>
              <w:rPr>
                <w:rFonts w:ascii="宋体" w:eastAsia="宋体" w:hAnsi="宋体"/>
                <w:szCs w:val="21"/>
              </w:rPr>
            </w:pPr>
            <w:r>
              <w:rPr>
                <w:rFonts w:ascii="宋体" w:eastAsia="宋体" w:hAnsi="宋体" w:hint="eastAsia"/>
                <w:szCs w:val="21"/>
              </w:rPr>
              <w:t>至____年__月__日</w:t>
            </w:r>
          </w:p>
        </w:tc>
      </w:tr>
    </w:tbl>
    <w:p w:rsidR="001C66B0" w:rsidRDefault="001C66B0">
      <w:pPr>
        <w:jc w:val="left"/>
        <w:rPr>
          <w:rFonts w:ascii="宋体" w:eastAsia="宋体" w:hAnsi="宋体"/>
          <w:bCs/>
          <w:szCs w:val="21"/>
        </w:rPr>
      </w:pPr>
    </w:p>
    <w:p w:rsidR="001C66B0" w:rsidRDefault="00D005FC">
      <w:pPr>
        <w:spacing w:line="360" w:lineRule="auto"/>
        <w:ind w:firstLineChars="200" w:firstLine="420"/>
        <w:rPr>
          <w:rFonts w:ascii="宋体" w:eastAsia="宋体" w:hAnsi="宋体"/>
          <w:bCs/>
          <w:szCs w:val="21"/>
        </w:rPr>
      </w:pPr>
      <w:r>
        <w:rPr>
          <w:rFonts w:ascii="宋体" w:eastAsia="宋体" w:hAnsi="宋体" w:hint="eastAsia"/>
          <w:bCs/>
          <w:szCs w:val="21"/>
        </w:rPr>
        <w:t>赔偿责任期间从被保险工程竣工验收合格之日起一年后开始计算。工程竣工验收合格之日后一年内出现质量缺陷的由相关责任人负责维修。</w:t>
      </w:r>
    </w:p>
    <w:p w:rsidR="001C66B0" w:rsidRDefault="00D005FC">
      <w:pPr>
        <w:spacing w:line="360" w:lineRule="auto"/>
        <w:ind w:firstLineChars="200" w:firstLine="420"/>
        <w:rPr>
          <w:rFonts w:ascii="宋体" w:eastAsia="宋体" w:hAnsi="宋体"/>
          <w:bCs/>
          <w:szCs w:val="21"/>
        </w:rPr>
      </w:pPr>
      <w:r>
        <w:rPr>
          <w:rFonts w:ascii="宋体" w:eastAsia="宋体" w:hAnsi="宋体" w:hint="eastAsia"/>
          <w:bCs/>
          <w:szCs w:val="21"/>
        </w:rPr>
        <w:t>2</w:t>
      </w:r>
      <w:r>
        <w:rPr>
          <w:rFonts w:ascii="宋体" w:eastAsia="宋体" w:hAnsi="宋体"/>
          <w:bCs/>
          <w:szCs w:val="21"/>
        </w:rPr>
        <w:t>.</w:t>
      </w:r>
      <w:r>
        <w:rPr>
          <w:rFonts w:ascii="宋体" w:eastAsia="宋体" w:hAnsi="宋体" w:hint="eastAsia"/>
          <w:bCs/>
          <w:szCs w:val="21"/>
        </w:rPr>
        <w:t>保险除外责任如下：</w:t>
      </w:r>
    </w:p>
    <w:p w:rsidR="001C66B0" w:rsidRDefault="001C66B0">
      <w:pPr>
        <w:spacing w:line="360" w:lineRule="auto"/>
        <w:ind w:firstLineChars="192" w:firstLine="403"/>
        <w:rPr>
          <w:rFonts w:ascii="宋体" w:eastAsia="宋体" w:hAnsi="宋体"/>
          <w:szCs w:val="21"/>
          <w:u w:val="single"/>
        </w:rPr>
      </w:pPr>
    </w:p>
    <w:p w:rsidR="001C66B0" w:rsidRDefault="00D005FC">
      <w:pPr>
        <w:spacing w:line="360" w:lineRule="auto"/>
        <w:ind w:firstLineChars="192" w:firstLine="403"/>
      </w:pPr>
      <w:r>
        <w:rPr>
          <w:rFonts w:hint="eastAsia"/>
        </w:rPr>
        <w:lastRenderedPageBreak/>
        <w:t>保单出单机构：</w:t>
      </w:r>
    </w:p>
    <w:p w:rsidR="001C66B0" w:rsidRDefault="00D005FC">
      <w:pPr>
        <w:spacing w:line="360" w:lineRule="auto"/>
        <w:ind w:firstLineChars="192" w:firstLine="403"/>
        <w:rPr>
          <w:rFonts w:ascii="宋体" w:eastAsia="宋体" w:hAnsi="宋体"/>
          <w:szCs w:val="21"/>
          <w:u w:val="single"/>
        </w:rPr>
      </w:pPr>
      <w:r>
        <w:rPr>
          <w:rFonts w:hint="eastAsia"/>
        </w:rPr>
        <w:t>保险条款下载地址：</w:t>
      </w:r>
    </w:p>
    <w:p w:rsidR="001C66B0" w:rsidRDefault="001C66B0">
      <w:pPr>
        <w:spacing w:line="360" w:lineRule="auto"/>
        <w:ind w:firstLineChars="192" w:firstLine="403"/>
        <w:rPr>
          <w:rFonts w:ascii="宋体" w:eastAsia="宋体" w:hAnsi="宋体"/>
          <w:bCs/>
          <w:szCs w:val="21"/>
          <w:u w:val="single"/>
        </w:rPr>
      </w:pPr>
    </w:p>
    <w:p w:rsidR="001C66B0" w:rsidRDefault="00D005FC">
      <w:pPr>
        <w:spacing w:line="360" w:lineRule="auto"/>
        <w:ind w:firstLineChars="192" w:firstLine="405"/>
        <w:rPr>
          <w:rFonts w:asciiTheme="minorEastAsia" w:hAnsiTheme="minorEastAsia"/>
          <w:b/>
          <w:bCs/>
          <w:szCs w:val="21"/>
        </w:rPr>
      </w:pPr>
      <w:r>
        <w:rPr>
          <w:rFonts w:asciiTheme="minorEastAsia" w:hAnsiTheme="minorEastAsia" w:hint="eastAsia"/>
          <w:b/>
          <w:bCs/>
          <w:szCs w:val="21"/>
        </w:rPr>
        <w:t>二、理赔流程及报案资料</w:t>
      </w:r>
    </w:p>
    <w:p w:rsidR="001C66B0" w:rsidRDefault="00D005FC">
      <w:pPr>
        <w:spacing w:line="360" w:lineRule="auto"/>
        <w:ind w:firstLineChars="200" w:firstLine="420"/>
        <w:rPr>
          <w:rFonts w:asciiTheme="minorEastAsia" w:hAnsiTheme="minorEastAsia"/>
          <w:szCs w:val="21"/>
          <w:u w:val="single"/>
        </w:rPr>
      </w:pPr>
      <w:r>
        <w:rPr>
          <w:rFonts w:asciiTheme="minorEastAsia" w:hAnsiTheme="minorEastAsia"/>
          <w:szCs w:val="21"/>
        </w:rPr>
        <w:t>1.</w:t>
      </w:r>
      <w:r>
        <w:rPr>
          <w:rFonts w:asciiTheme="minorEastAsia" w:hAnsiTheme="minorEastAsia" w:hint="eastAsia"/>
        </w:rPr>
        <w:t>理赔流程：</w:t>
      </w:r>
    </w:p>
    <w:p w:rsidR="001C66B0" w:rsidRDefault="00D005FC">
      <w:pPr>
        <w:spacing w:line="360" w:lineRule="auto"/>
        <w:ind w:firstLineChars="200" w:firstLine="420"/>
        <w:rPr>
          <w:rFonts w:asciiTheme="minorEastAsia" w:hAnsiTheme="minorEastAsia"/>
          <w:szCs w:val="21"/>
          <w:u w:val="single"/>
        </w:rPr>
      </w:pPr>
      <w:r>
        <w:rPr>
          <w:rFonts w:asciiTheme="minorEastAsia" w:hAnsiTheme="minorEastAsia"/>
        </w:rPr>
        <w:t>2.</w:t>
      </w:r>
      <w:r>
        <w:rPr>
          <w:rFonts w:asciiTheme="minorEastAsia" w:hAnsiTheme="minorEastAsia" w:hint="eastAsia"/>
        </w:rPr>
        <w:t>报案资料：</w:t>
      </w:r>
    </w:p>
    <w:p w:rsidR="001C66B0" w:rsidRDefault="001C66B0">
      <w:pPr>
        <w:pStyle w:val="a6"/>
        <w:spacing w:line="360" w:lineRule="auto"/>
        <w:ind w:left="2940"/>
        <w:rPr>
          <w:rFonts w:asciiTheme="minorEastAsia" w:hAnsiTheme="minorEastAsia"/>
          <w:szCs w:val="21"/>
        </w:rPr>
      </w:pPr>
    </w:p>
    <w:p w:rsidR="001C66B0" w:rsidRDefault="00D005FC">
      <w:pPr>
        <w:spacing w:line="360" w:lineRule="auto"/>
        <w:ind w:firstLineChars="200" w:firstLine="420"/>
        <w:rPr>
          <w:rFonts w:asciiTheme="minorEastAsia" w:hAnsiTheme="minorEastAsia"/>
          <w:szCs w:val="21"/>
        </w:rPr>
      </w:pPr>
      <w:r>
        <w:rPr>
          <w:rFonts w:asciiTheme="minorEastAsia" w:hAnsiTheme="minorEastAsia" w:hint="eastAsia"/>
          <w:szCs w:val="21"/>
        </w:rPr>
        <w:t>保险公司已设立有专门的理赔服务团队，在出现需要急修、抢修的突发情况，会启动应急处理机制，第一时间提供维修方案，并</w:t>
      </w:r>
      <w:r>
        <w:rPr>
          <w:rFonts w:asciiTheme="minorEastAsia" w:hAnsiTheme="minorEastAsia" w:hint="eastAsia"/>
          <w:bCs/>
          <w:szCs w:val="21"/>
        </w:rPr>
        <w:t>委托</w:t>
      </w:r>
      <w:r>
        <w:rPr>
          <w:rFonts w:asciiTheme="minorEastAsia" w:hAnsiTheme="minorEastAsia" w:hint="eastAsia"/>
          <w:szCs w:val="21"/>
        </w:rPr>
        <w:t>第三方房屋维修公司或物业公司先行抢修，提供优质的理赔服务，为您的住宅保驾护航。</w:t>
      </w:r>
    </w:p>
    <w:p w:rsidR="001C66B0" w:rsidRDefault="001C66B0">
      <w:pPr>
        <w:ind w:firstLineChars="200" w:firstLine="420"/>
        <w:rPr>
          <w:rFonts w:ascii="宋体" w:eastAsia="宋体" w:hAnsi="宋体"/>
          <w:szCs w:val="21"/>
        </w:rPr>
      </w:pPr>
    </w:p>
    <w:p w:rsidR="001C66B0" w:rsidRDefault="00D005FC">
      <w:pPr>
        <w:ind w:firstLineChars="300" w:firstLine="630"/>
        <w:rPr>
          <w:rFonts w:ascii="宋体" w:eastAsia="宋体" w:hAnsi="宋体"/>
          <w:szCs w:val="21"/>
        </w:rPr>
      </w:pPr>
      <w:r>
        <w:rPr>
          <w:rFonts w:ascii="宋体" w:eastAsia="宋体" w:hAnsi="宋体" w:hint="eastAsia"/>
          <w:szCs w:val="21"/>
        </w:rPr>
        <w:t>24小时保险服务专线电话：</w:t>
      </w:r>
    </w:p>
    <w:p w:rsidR="001C66B0" w:rsidRDefault="001C66B0">
      <w:pPr>
        <w:spacing w:line="360" w:lineRule="auto"/>
        <w:rPr>
          <w:rStyle w:val="Char7"/>
          <w:rFonts w:ascii="宋体" w:hAnsi="宋体"/>
          <w:b w:val="0"/>
          <w:sz w:val="21"/>
          <w:szCs w:val="21"/>
        </w:rPr>
      </w:pPr>
    </w:p>
    <w:p w:rsidR="001C66B0" w:rsidRDefault="00D005FC">
      <w:pPr>
        <w:ind w:right="840" w:firstLineChars="300" w:firstLine="630"/>
        <w:jc w:val="center"/>
        <w:rPr>
          <w:rStyle w:val="Char7"/>
          <w:rFonts w:ascii="宋体" w:hAnsi="宋体"/>
          <w:b w:val="0"/>
          <w:sz w:val="21"/>
          <w:szCs w:val="21"/>
        </w:rPr>
      </w:pPr>
      <w:r>
        <w:rPr>
          <w:rFonts w:hint="eastAsia"/>
        </w:rPr>
        <w:t xml:space="preserve"> </w:t>
      </w:r>
      <w:r>
        <w:t xml:space="preserve">                                              </w:t>
      </w:r>
      <w:r>
        <w:rPr>
          <w:rFonts w:hint="eastAsia"/>
        </w:rPr>
        <w:t>保险公司</w:t>
      </w:r>
    </w:p>
    <w:p w:rsidR="001C66B0" w:rsidRDefault="001C66B0">
      <w:pPr>
        <w:ind w:firstLine="480"/>
        <w:jc w:val="left"/>
        <w:rPr>
          <w:rFonts w:ascii="宋体" w:eastAsia="宋体" w:hAnsi="宋体"/>
          <w:b/>
          <w:bCs/>
          <w:sz w:val="24"/>
          <w:szCs w:val="24"/>
        </w:rPr>
      </w:pPr>
    </w:p>
    <w:p w:rsidR="001C66B0" w:rsidRDefault="00D005FC">
      <w:pPr>
        <w:ind w:firstLine="480"/>
        <w:jc w:val="left"/>
        <w:rPr>
          <w:rFonts w:ascii="宋体" w:eastAsia="宋体" w:hAnsi="宋体"/>
          <w:b/>
          <w:bCs/>
          <w:sz w:val="24"/>
          <w:szCs w:val="24"/>
        </w:rPr>
      </w:pPr>
      <w:r>
        <w:rPr>
          <w:rFonts w:ascii="宋体" w:eastAsia="宋体" w:hAnsi="宋体"/>
          <w:b/>
          <w:bCs/>
          <w:sz w:val="24"/>
          <w:szCs w:val="24"/>
        </w:rPr>
        <w:br w:type="page"/>
      </w: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71" w:name="_Toc176713677"/>
      <w:r>
        <w:rPr>
          <w:rFonts w:asciiTheme="minorEastAsia" w:hAnsiTheme="minorEastAsia" w:cstheme="minorEastAsia" w:hint="eastAsia"/>
          <w:b/>
          <w:bCs/>
        </w:rPr>
        <w:lastRenderedPageBreak/>
        <w:t>附录</w:t>
      </w:r>
      <w:bookmarkStart w:id="72" w:name="_Hlk105294981"/>
      <w:r>
        <w:rPr>
          <w:rFonts w:asciiTheme="minorEastAsia" w:hAnsiTheme="minorEastAsia" w:cstheme="minorEastAsia" w:hint="eastAsia"/>
          <w:b/>
          <w:bCs/>
        </w:rPr>
        <w:t>B 质量风险管理重点关注的内容</w:t>
      </w:r>
      <w:bookmarkEnd w:id="71"/>
      <w:bookmarkEnd w:id="72"/>
    </w:p>
    <w:p w:rsidR="001C66B0" w:rsidRDefault="00D005FC">
      <w:pPr>
        <w:rPr>
          <w:rStyle w:val="longtext"/>
          <w:rFonts w:ascii="宋体" w:eastAsia="宋体" w:hAnsi="宋体"/>
        </w:rPr>
      </w:pPr>
      <w:r>
        <w:rPr>
          <w:rStyle w:val="longtext"/>
          <w:rFonts w:ascii="宋体" w:eastAsia="宋体" w:hAnsi="宋体" w:hint="eastAsia"/>
        </w:rPr>
        <w:t>质量风险管理重点关注的内容见表B。</w:t>
      </w:r>
    </w:p>
    <w:p w:rsidR="001C66B0" w:rsidRDefault="001C66B0">
      <w:pPr>
        <w:rPr>
          <w:rStyle w:val="longtext"/>
          <w:rFonts w:ascii="宋体" w:eastAsia="宋体" w:hAnsi="宋体"/>
        </w:rPr>
      </w:pPr>
    </w:p>
    <w:p w:rsidR="001C66B0" w:rsidRDefault="00D005FC">
      <w:pPr>
        <w:spacing w:line="360" w:lineRule="auto"/>
        <w:jc w:val="center"/>
        <w:rPr>
          <w:rFonts w:asciiTheme="minorEastAsia" w:hAnsiTheme="minorEastAsia"/>
          <w:b/>
        </w:rPr>
      </w:pPr>
      <w:r>
        <w:rPr>
          <w:rFonts w:asciiTheme="minorEastAsia" w:hAnsiTheme="minorEastAsia" w:hint="eastAsia"/>
          <w:b/>
        </w:rPr>
        <w:t>表</w:t>
      </w:r>
      <w:bookmarkStart w:id="73" w:name="_Hlk105295104"/>
      <w:r>
        <w:rPr>
          <w:rFonts w:asciiTheme="minorEastAsia" w:hAnsiTheme="minorEastAsia" w:hint="eastAsia"/>
          <w:b/>
        </w:rPr>
        <w:t>B质量风险管理重点关注的内容表</w:t>
      </w:r>
      <w:bookmarkEnd w:id="73"/>
    </w:p>
    <w:tbl>
      <w:tblPr>
        <w:tblStyle w:val="af1"/>
        <w:tblW w:w="0" w:type="auto"/>
        <w:jc w:val="center"/>
        <w:tblLook w:val="04A0"/>
      </w:tblPr>
      <w:tblGrid>
        <w:gridCol w:w="704"/>
        <w:gridCol w:w="1521"/>
        <w:gridCol w:w="6492"/>
      </w:tblGrid>
      <w:tr w:rsidR="001C66B0">
        <w:trPr>
          <w:cantSplit/>
          <w:trHeight w:val="466"/>
          <w:jc w:val="center"/>
        </w:trPr>
        <w:tc>
          <w:tcPr>
            <w:tcW w:w="704" w:type="dxa"/>
            <w:vAlign w:val="center"/>
          </w:tcPr>
          <w:p w:rsidR="001C66B0" w:rsidRDefault="00D005FC">
            <w:pPr>
              <w:tabs>
                <w:tab w:val="left" w:pos="142"/>
              </w:tabs>
              <w:ind w:rightChars="-34" w:right="-71"/>
              <w:jc w:val="center"/>
              <w:rPr>
                <w:rFonts w:asciiTheme="minorEastAsia" w:hAnsiTheme="minorEastAsia" w:cstheme="minorEastAsia"/>
                <w:b/>
                <w:bCs/>
                <w:szCs w:val="21"/>
              </w:rPr>
            </w:pPr>
            <w:r>
              <w:rPr>
                <w:rFonts w:asciiTheme="minorEastAsia" w:hAnsiTheme="minorEastAsia" w:cstheme="minorEastAsia" w:hint="eastAsia"/>
                <w:b/>
                <w:bCs/>
                <w:szCs w:val="21"/>
              </w:rPr>
              <w:t>序号</w:t>
            </w:r>
          </w:p>
        </w:tc>
        <w:tc>
          <w:tcPr>
            <w:tcW w:w="1521" w:type="dxa"/>
            <w:vAlign w:val="center"/>
          </w:tcPr>
          <w:p w:rsidR="001C66B0" w:rsidRDefault="00D005FC">
            <w:pPr>
              <w:tabs>
                <w:tab w:val="left" w:pos="142"/>
              </w:tabs>
              <w:ind w:rightChars="-34" w:right="-71"/>
              <w:jc w:val="center"/>
              <w:rPr>
                <w:rFonts w:asciiTheme="minorEastAsia" w:hAnsiTheme="minorEastAsia" w:cstheme="minorEastAsia"/>
                <w:b/>
                <w:bCs/>
                <w:szCs w:val="21"/>
              </w:rPr>
            </w:pPr>
            <w:r>
              <w:rPr>
                <w:rFonts w:asciiTheme="minorEastAsia" w:hAnsiTheme="minorEastAsia" w:cstheme="minorEastAsia" w:hint="eastAsia"/>
                <w:b/>
                <w:bCs/>
                <w:szCs w:val="21"/>
              </w:rPr>
              <w:t>风险检查项目</w:t>
            </w:r>
          </w:p>
        </w:tc>
        <w:tc>
          <w:tcPr>
            <w:tcW w:w="6492" w:type="dxa"/>
            <w:vAlign w:val="center"/>
          </w:tcPr>
          <w:p w:rsidR="001C66B0" w:rsidRDefault="00D005FC">
            <w:pPr>
              <w:tabs>
                <w:tab w:val="left" w:pos="142"/>
              </w:tabs>
              <w:ind w:rightChars="-34" w:right="-71"/>
              <w:jc w:val="center"/>
              <w:rPr>
                <w:rFonts w:asciiTheme="minorEastAsia" w:hAnsiTheme="minorEastAsia" w:cstheme="minorEastAsia"/>
                <w:b/>
                <w:bCs/>
                <w:szCs w:val="21"/>
              </w:rPr>
            </w:pPr>
            <w:r>
              <w:rPr>
                <w:rFonts w:asciiTheme="minorEastAsia" w:hAnsiTheme="minorEastAsia" w:cstheme="minorEastAsia" w:hint="eastAsia"/>
                <w:b/>
                <w:bCs/>
                <w:szCs w:val="21"/>
              </w:rPr>
              <w:t>基本内容</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p>
        </w:tc>
        <w:tc>
          <w:tcPr>
            <w:tcW w:w="1521" w:type="dxa"/>
            <w:vAlign w:val="center"/>
          </w:tcPr>
          <w:p w:rsidR="001C66B0" w:rsidRDefault="00D005FC">
            <w:pPr>
              <w:tabs>
                <w:tab w:val="left" w:pos="142"/>
              </w:tabs>
              <w:spacing w:line="360" w:lineRule="auto"/>
              <w:ind w:rightChars="-34" w:right="-71"/>
              <w:jc w:val="center"/>
              <w:rPr>
                <w:rFonts w:asciiTheme="minorEastAsia" w:hAnsiTheme="minorEastAsia" w:cstheme="minorEastAsia"/>
                <w:bCs/>
                <w:szCs w:val="21"/>
              </w:rPr>
            </w:pPr>
            <w:r>
              <w:rPr>
                <w:rFonts w:asciiTheme="minorEastAsia" w:hAnsiTheme="minorEastAsia"/>
                <w:color w:val="231F20"/>
                <w:szCs w:val="21"/>
              </w:rPr>
              <w:t>技术风险分析</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对设计交底、图纸会审、技术核定、设计变更中的重要技术风险点进行分析</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a）图纸会审：工程名称、时间、地点、参加人员、提出意见部位的图号、提出单位、提出意见、处理意见以及各方代表签字、盖章</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w:t>
            </w:r>
            <w:r>
              <w:rPr>
                <w:rFonts w:asciiTheme="minorEastAsia" w:hAnsiTheme="minorEastAsia" w:cs="宋体" w:hint="eastAsia"/>
                <w:color w:val="231F20"/>
                <w:kern w:val="0"/>
                <w:szCs w:val="21"/>
              </w:rPr>
              <w:t>设计</w:t>
            </w:r>
            <w:r>
              <w:rPr>
                <w:rFonts w:asciiTheme="minorEastAsia" w:hAnsiTheme="minorEastAsia" w:cs="宋体"/>
                <w:color w:val="231F20"/>
                <w:kern w:val="0"/>
                <w:szCs w:val="21"/>
              </w:rPr>
              <w:t>交底：记录施工项目的基本情况、工程特点、施工方法和应采取的措施，施工中的重点、难点、主要技术质量要求、主要注意事项，以及主要施工机具的准备和使用注意事项等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c）技术核定单：记录工程名称、施工部位或图号、核定内容及相关单位审批意见</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d）设计变更：记录变更工程名称、变更工程部位、变更部位图号变更主要原因、变更内容详细描述及相关单位签字、盖章</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2</w:t>
            </w:r>
          </w:p>
        </w:tc>
        <w:tc>
          <w:tcPr>
            <w:tcW w:w="1521" w:type="dxa"/>
            <w:vAlign w:val="center"/>
          </w:tcPr>
          <w:p w:rsidR="001C66B0" w:rsidRDefault="00D005FC">
            <w:pPr>
              <w:tabs>
                <w:tab w:val="left" w:pos="142"/>
              </w:tabs>
              <w:spacing w:line="360" w:lineRule="auto"/>
              <w:ind w:rightChars="-34" w:right="-71"/>
              <w:jc w:val="center"/>
              <w:rPr>
                <w:rFonts w:asciiTheme="minorEastAsia" w:hAnsiTheme="minorEastAsia" w:cstheme="minorEastAsia"/>
                <w:bCs/>
                <w:szCs w:val="21"/>
              </w:rPr>
            </w:pPr>
            <w:r>
              <w:rPr>
                <w:rFonts w:asciiTheme="minorEastAsia" w:hAnsiTheme="minorEastAsia"/>
                <w:color w:val="231F20"/>
                <w:szCs w:val="21"/>
              </w:rPr>
              <w:t>地基工程施工</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基坑（槽）挖土验槽检查应包含以下内容</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a）槽底土质类别、颜色及坚硬均匀情况</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b）地下水位、承压水位、水浸情况等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c）遇有古坟、古井、洞穴、电缆、旧房基础、以及流沙等应在图中标明位置、标高、处理情况说明或写明变更文件编号</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d）复查现场遗留的钻芯样品所揭示的地质状况</w:t>
            </w:r>
          </w:p>
          <w:p w:rsidR="001C66B0" w:rsidRDefault="00D005FC">
            <w:pPr>
              <w:tabs>
                <w:tab w:val="left" w:pos="142"/>
              </w:tabs>
              <w:spacing w:line="360" w:lineRule="auto"/>
              <w:ind w:rightChars="-34" w:right="-71"/>
              <w:jc w:val="left"/>
              <w:rPr>
                <w:rFonts w:asciiTheme="minorEastAsia" w:hAnsiTheme="minorEastAsia" w:cstheme="minorEastAsia"/>
                <w:bCs/>
                <w:szCs w:val="21"/>
              </w:rPr>
            </w:pPr>
            <w:r>
              <w:rPr>
                <w:rFonts w:asciiTheme="minorEastAsia" w:hAnsiTheme="minorEastAsia" w:cs="宋体"/>
                <w:color w:val="231F20"/>
                <w:kern w:val="0"/>
                <w:szCs w:val="21"/>
              </w:rPr>
              <w:t>e）是否与勘察报告一致</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3</w:t>
            </w:r>
          </w:p>
        </w:tc>
        <w:tc>
          <w:tcPr>
            <w:tcW w:w="1521" w:type="dxa"/>
            <w:vAlign w:val="center"/>
          </w:tcPr>
          <w:p w:rsidR="001C66B0" w:rsidRDefault="00D005FC">
            <w:pPr>
              <w:tabs>
                <w:tab w:val="left" w:pos="142"/>
              </w:tabs>
              <w:spacing w:line="360" w:lineRule="auto"/>
              <w:ind w:rightChars="-34" w:right="-71"/>
              <w:jc w:val="center"/>
              <w:rPr>
                <w:rFonts w:asciiTheme="minorEastAsia" w:hAnsiTheme="minorEastAsia" w:cstheme="minorEastAsia"/>
                <w:bCs/>
                <w:szCs w:val="21"/>
              </w:rPr>
            </w:pPr>
            <w:r>
              <w:rPr>
                <w:rFonts w:asciiTheme="minorEastAsia" w:hAnsiTheme="minorEastAsia"/>
                <w:color w:val="231F20"/>
                <w:szCs w:val="21"/>
              </w:rPr>
              <w:t>桩基工程施工</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PHC 管桩：</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a）检查成品桩质量证明文件</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b）检查桩身外观（有无蜂窝、露筋、裂缝等）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c）桩的贯入情况、桩体垂直度、桩顶完整情况及高程</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d）承载力试验及桩体质量检验报告</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混凝土灌注桩：</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a）检查原材料检测报告</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b）检查桩位、孔深、桩径、垂直度、桩顶标高等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c）检查是否存在断桩、缩颈等高风险桩基</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d）检查混凝土强度、承载力检验数据</w:t>
            </w:r>
          </w:p>
          <w:p w:rsidR="001C66B0" w:rsidRDefault="00D005FC">
            <w:pPr>
              <w:widowControl/>
              <w:spacing w:line="360" w:lineRule="auto"/>
              <w:jc w:val="left"/>
              <w:rPr>
                <w:rFonts w:asciiTheme="minorEastAsia" w:hAnsiTheme="minorEastAsia" w:cstheme="minorEastAsia"/>
                <w:bCs/>
                <w:szCs w:val="21"/>
              </w:rPr>
            </w:pPr>
            <w:r>
              <w:rPr>
                <w:rFonts w:asciiTheme="minorEastAsia" w:hAnsiTheme="minorEastAsia" w:cs="宋体"/>
                <w:color w:val="231F20"/>
                <w:kern w:val="0"/>
                <w:szCs w:val="21"/>
              </w:rPr>
              <w:t>其他类型桩：参照设计文件和相关施工标准</w:t>
            </w:r>
          </w:p>
        </w:tc>
      </w:tr>
    </w:tbl>
    <w:p w:rsidR="001C66B0" w:rsidRDefault="00D005FC">
      <w:pPr>
        <w:jc w:val="center"/>
      </w:pPr>
      <w:r>
        <w:rPr>
          <w:rFonts w:hint="eastAsia"/>
        </w:rPr>
        <w:lastRenderedPageBreak/>
        <w:t>续</w:t>
      </w:r>
      <w:r>
        <w:rPr>
          <w:rFonts w:asciiTheme="minorEastAsia" w:hAnsiTheme="minorEastAsia" w:hint="eastAsia"/>
        </w:rPr>
        <w:t>表B</w:t>
      </w:r>
    </w:p>
    <w:tbl>
      <w:tblPr>
        <w:tblStyle w:val="af1"/>
        <w:tblW w:w="0" w:type="auto"/>
        <w:jc w:val="center"/>
        <w:tblLook w:val="04A0"/>
      </w:tblPr>
      <w:tblGrid>
        <w:gridCol w:w="704"/>
        <w:gridCol w:w="1521"/>
        <w:gridCol w:w="6492"/>
      </w:tblGrid>
      <w:tr w:rsidR="001C66B0">
        <w:trPr>
          <w:cantSplit/>
          <w:trHeight w:val="432"/>
          <w:jc w:val="center"/>
        </w:trPr>
        <w:tc>
          <w:tcPr>
            <w:tcW w:w="704" w:type="dxa"/>
            <w:vAlign w:val="center"/>
          </w:tcPr>
          <w:p w:rsidR="001C66B0" w:rsidRDefault="00D005FC">
            <w:pPr>
              <w:widowControl/>
              <w:jc w:val="center"/>
              <w:rPr>
                <w:rFonts w:asciiTheme="minorEastAsia" w:hAnsiTheme="minorEastAsia"/>
                <w:color w:val="231F20"/>
                <w:szCs w:val="21"/>
              </w:rPr>
            </w:pPr>
            <w:r>
              <w:rPr>
                <w:rFonts w:asciiTheme="minorEastAsia" w:hAnsiTheme="minorEastAsia" w:cstheme="minorEastAsia" w:hint="eastAsia"/>
                <w:b/>
                <w:bCs/>
                <w:szCs w:val="21"/>
              </w:rPr>
              <w:t>序号</w:t>
            </w:r>
          </w:p>
        </w:tc>
        <w:tc>
          <w:tcPr>
            <w:tcW w:w="1521" w:type="dxa"/>
            <w:vAlign w:val="center"/>
          </w:tcPr>
          <w:p w:rsidR="001C66B0" w:rsidRDefault="00D005FC">
            <w:pPr>
              <w:tabs>
                <w:tab w:val="left" w:pos="142"/>
              </w:tabs>
              <w:ind w:rightChars="-34" w:right="-71"/>
              <w:jc w:val="center"/>
              <w:rPr>
                <w:rFonts w:asciiTheme="minorEastAsia" w:hAnsiTheme="minorEastAsia"/>
                <w:color w:val="231F20"/>
                <w:szCs w:val="21"/>
              </w:rPr>
            </w:pPr>
            <w:r>
              <w:rPr>
                <w:rFonts w:asciiTheme="minorEastAsia" w:hAnsiTheme="minorEastAsia" w:cstheme="minorEastAsia" w:hint="eastAsia"/>
                <w:b/>
                <w:bCs/>
                <w:szCs w:val="21"/>
              </w:rPr>
              <w:t>风险检查项目</w:t>
            </w:r>
          </w:p>
        </w:tc>
        <w:tc>
          <w:tcPr>
            <w:tcW w:w="6492" w:type="dxa"/>
            <w:vAlign w:val="center"/>
          </w:tcPr>
          <w:p w:rsidR="001C66B0" w:rsidRDefault="00D005FC">
            <w:pPr>
              <w:widowControl/>
              <w:jc w:val="center"/>
              <w:rPr>
                <w:rFonts w:asciiTheme="minorEastAsia" w:hAnsiTheme="minorEastAsia" w:cs="宋体"/>
                <w:color w:val="231F20"/>
                <w:kern w:val="0"/>
                <w:szCs w:val="21"/>
              </w:rPr>
            </w:pPr>
            <w:r>
              <w:rPr>
                <w:rFonts w:asciiTheme="minorEastAsia" w:hAnsiTheme="minorEastAsia" w:cstheme="minorEastAsia" w:hint="eastAsia"/>
                <w:b/>
                <w:bCs/>
                <w:szCs w:val="21"/>
              </w:rPr>
              <w:t>基本内容</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4</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钢筋工程施工</w:t>
            </w:r>
          </w:p>
          <w:p w:rsidR="001C66B0" w:rsidRDefault="00D005FC">
            <w:pPr>
              <w:tabs>
                <w:tab w:val="left" w:pos="142"/>
              </w:tabs>
              <w:spacing w:line="360" w:lineRule="auto"/>
              <w:ind w:rightChars="-34" w:right="-71"/>
              <w:jc w:val="center"/>
              <w:rPr>
                <w:rFonts w:asciiTheme="minorEastAsia" w:hAnsiTheme="minorEastAsia" w:cstheme="minorEastAsia"/>
                <w:bCs/>
                <w:szCs w:val="21"/>
              </w:rPr>
            </w:pPr>
            <w:r>
              <w:rPr>
                <w:rFonts w:asciiTheme="minorEastAsia" w:hAnsiTheme="minorEastAsia" w:cs="宋体"/>
                <w:color w:val="231F20"/>
                <w:kern w:val="0"/>
                <w:szCs w:val="21"/>
              </w:rPr>
              <w:t>（基础和主体结构）</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a）纵向受力钢筋的牌号、规格、数量、位置</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b）钢筋的连接方式、接头位置、接头数量、接头面积百分率、搭接长度、锚固方式及锚固长度</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c）箍筋、横向钢筋的牌号、规格、数量、间距，箍筋弯钩的弯折角度及平直段长度</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d）预埋件的规格、数量、位置</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e）钢筋连接质量</w:t>
            </w:r>
          </w:p>
          <w:p w:rsidR="001C66B0" w:rsidRDefault="00D005FC">
            <w:pPr>
              <w:tabs>
                <w:tab w:val="left" w:pos="142"/>
              </w:tabs>
              <w:spacing w:line="360" w:lineRule="auto"/>
              <w:ind w:rightChars="-34" w:right="-71"/>
              <w:jc w:val="left"/>
              <w:rPr>
                <w:rFonts w:asciiTheme="minorEastAsia" w:hAnsiTheme="minorEastAsia" w:cstheme="minorEastAsia"/>
                <w:bCs/>
                <w:szCs w:val="21"/>
              </w:rPr>
            </w:pPr>
            <w:r>
              <w:rPr>
                <w:rFonts w:asciiTheme="minorEastAsia" w:hAnsiTheme="minorEastAsia" w:cs="宋体"/>
                <w:color w:val="231F20"/>
                <w:kern w:val="0"/>
                <w:szCs w:val="21"/>
              </w:rPr>
              <w:t>c）钢材质量检查</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5</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模板工程施工</w:t>
            </w:r>
          </w:p>
          <w:p w:rsidR="001C66B0" w:rsidRDefault="00D005FC">
            <w:pPr>
              <w:tabs>
                <w:tab w:val="left" w:pos="142"/>
              </w:tabs>
              <w:spacing w:line="360" w:lineRule="auto"/>
              <w:ind w:rightChars="-34" w:right="-71"/>
              <w:jc w:val="center"/>
              <w:rPr>
                <w:rFonts w:asciiTheme="minorEastAsia" w:hAnsiTheme="minorEastAsia" w:cstheme="minorEastAsia"/>
                <w:bCs/>
                <w:szCs w:val="21"/>
              </w:rPr>
            </w:pPr>
            <w:r>
              <w:rPr>
                <w:rFonts w:asciiTheme="minorEastAsia" w:hAnsiTheme="minorEastAsia" w:cs="宋体"/>
                <w:color w:val="231F20"/>
                <w:kern w:val="0"/>
                <w:szCs w:val="21"/>
              </w:rPr>
              <w:t>（基础和主体结构）</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a）抽查模板安装质量（模板安装接缝是否漏浆，模板与混凝土接触面是否清理干净并涂刷隔离剂等）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b）检查模板截面尺寸、垂直度、轴线位置等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c）对跨度不小于 4m 的现浇钢筋混凝土梁、板，模板是否按设计要求起拱</w:t>
            </w:r>
          </w:p>
          <w:p w:rsidR="001C66B0" w:rsidRDefault="00D005FC">
            <w:pPr>
              <w:tabs>
                <w:tab w:val="left" w:pos="142"/>
              </w:tabs>
              <w:spacing w:line="360" w:lineRule="auto"/>
              <w:ind w:rightChars="-34" w:right="-71"/>
              <w:jc w:val="left"/>
              <w:rPr>
                <w:rFonts w:asciiTheme="minorEastAsia" w:hAnsiTheme="minorEastAsia" w:cs="宋体"/>
                <w:color w:val="231F20"/>
                <w:kern w:val="0"/>
                <w:szCs w:val="21"/>
              </w:rPr>
            </w:pPr>
            <w:r>
              <w:rPr>
                <w:rFonts w:asciiTheme="minorEastAsia" w:hAnsiTheme="minorEastAsia" w:cs="宋体"/>
                <w:color w:val="231F20"/>
                <w:kern w:val="0"/>
                <w:szCs w:val="21"/>
              </w:rPr>
              <w:t>d）检查固定在模板上的预埋件、预留孔和预留洞</w:t>
            </w:r>
          </w:p>
          <w:p w:rsidR="001C66B0" w:rsidRDefault="00D005FC">
            <w:pPr>
              <w:tabs>
                <w:tab w:val="left" w:pos="142"/>
              </w:tabs>
              <w:spacing w:line="360" w:lineRule="auto"/>
              <w:ind w:rightChars="-34" w:right="-71"/>
              <w:jc w:val="left"/>
              <w:rPr>
                <w:rFonts w:asciiTheme="minorEastAsia" w:hAnsiTheme="minorEastAsia" w:cstheme="minorEastAsia"/>
                <w:bCs/>
                <w:szCs w:val="21"/>
              </w:rPr>
            </w:pPr>
            <w:r>
              <w:rPr>
                <w:rFonts w:asciiTheme="minorEastAsia" w:hAnsiTheme="minorEastAsia" w:cstheme="minorEastAsia" w:hint="eastAsia"/>
                <w:bCs/>
                <w:szCs w:val="21"/>
              </w:rPr>
              <w:t>e）模板架体的搭设程序和标准应符合相关规范要求</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6</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混凝土浇筑工程施工</w:t>
            </w:r>
          </w:p>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s="宋体"/>
                <w:color w:val="231F20"/>
                <w:kern w:val="0"/>
                <w:szCs w:val="21"/>
              </w:rPr>
              <w:t>（基础和主体结构）</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a）检查原材产品合格证、出厂检验报告和进场复验报告</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b）混凝土配合比、坍落度是否符合设计要求，混凝土运输、浇筑及间歇的全部时间是否合理</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c）检查施工缝、后浇带的位置及处理方案</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d）大体积混凝土施工，需要核查温控方法是否合理、到位</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e）检查施工单位的取样、养护</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f）检查成品混凝土外观是否有露筋、蜂窝、孔洞、外形等缺陷</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g）检查现浇混凝土结构是否有影响结构安全和使用功能的尺寸偏差</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7</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hint="eastAsia"/>
                <w:color w:val="231F20"/>
                <w:kern w:val="0"/>
                <w:szCs w:val="21"/>
              </w:rPr>
              <w:t>装配式建筑</w:t>
            </w:r>
          </w:p>
        </w:tc>
        <w:tc>
          <w:tcPr>
            <w:tcW w:w="6492" w:type="dxa"/>
            <w:vAlign w:val="center"/>
          </w:tcPr>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hint="eastAsia"/>
                <w:color w:val="231F20"/>
                <w:kern w:val="0"/>
                <w:szCs w:val="21"/>
              </w:rPr>
              <w:t>a）检查原材料进场验收资料（合格证、出厂检测报告、开盘鉴定等）及复试检测报告（关注灌（座）浆料、灌浆套筒连接接头、灌（座）浆料抗压强度试块的见证取样和送检）</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hint="eastAsia"/>
                <w:color w:val="231F20"/>
                <w:kern w:val="0"/>
                <w:szCs w:val="21"/>
              </w:rPr>
              <w:t>b）预制构件和现浇结构接触面处理</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hint="eastAsia"/>
                <w:color w:val="231F20"/>
                <w:kern w:val="0"/>
                <w:szCs w:val="21"/>
              </w:rPr>
              <w:t>c）与后浇构件接缝处的严密性</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hint="eastAsia"/>
                <w:color w:val="231F20"/>
                <w:kern w:val="0"/>
                <w:szCs w:val="21"/>
              </w:rPr>
              <w:t>d）外墙接缝等防水节点的处理</w:t>
            </w:r>
          </w:p>
        </w:tc>
      </w:tr>
    </w:tbl>
    <w:p w:rsidR="001C66B0" w:rsidRDefault="001C66B0"/>
    <w:p w:rsidR="001C66B0" w:rsidRDefault="001C66B0"/>
    <w:p w:rsidR="001C66B0" w:rsidRDefault="001C66B0"/>
    <w:p w:rsidR="001C66B0" w:rsidRDefault="001C66B0"/>
    <w:p w:rsidR="001C66B0" w:rsidRDefault="00D005FC">
      <w:pPr>
        <w:jc w:val="center"/>
      </w:pPr>
      <w:r>
        <w:rPr>
          <w:rFonts w:hint="eastAsia"/>
        </w:rPr>
        <w:lastRenderedPageBreak/>
        <w:t>续</w:t>
      </w:r>
      <w:r>
        <w:rPr>
          <w:rFonts w:asciiTheme="minorEastAsia" w:hAnsiTheme="minorEastAsia" w:hint="eastAsia"/>
        </w:rPr>
        <w:t>表B</w:t>
      </w:r>
    </w:p>
    <w:tbl>
      <w:tblPr>
        <w:tblStyle w:val="af1"/>
        <w:tblW w:w="0" w:type="auto"/>
        <w:jc w:val="center"/>
        <w:tblLook w:val="04A0"/>
      </w:tblPr>
      <w:tblGrid>
        <w:gridCol w:w="704"/>
        <w:gridCol w:w="1521"/>
        <w:gridCol w:w="6492"/>
      </w:tblGrid>
      <w:tr w:rsidR="001C66B0">
        <w:trPr>
          <w:cantSplit/>
          <w:trHeight w:val="432"/>
          <w:jc w:val="center"/>
        </w:trPr>
        <w:tc>
          <w:tcPr>
            <w:tcW w:w="704" w:type="dxa"/>
            <w:vAlign w:val="center"/>
          </w:tcPr>
          <w:p w:rsidR="001C66B0" w:rsidRDefault="00D005FC">
            <w:pPr>
              <w:widowControl/>
              <w:jc w:val="center"/>
              <w:rPr>
                <w:rFonts w:asciiTheme="minorEastAsia" w:hAnsiTheme="minorEastAsia"/>
                <w:color w:val="231F20"/>
                <w:szCs w:val="21"/>
              </w:rPr>
            </w:pPr>
            <w:r>
              <w:rPr>
                <w:rFonts w:asciiTheme="minorEastAsia" w:hAnsiTheme="minorEastAsia" w:cstheme="minorEastAsia" w:hint="eastAsia"/>
                <w:b/>
                <w:bCs/>
                <w:szCs w:val="21"/>
              </w:rPr>
              <w:t>序号</w:t>
            </w:r>
          </w:p>
        </w:tc>
        <w:tc>
          <w:tcPr>
            <w:tcW w:w="1521" w:type="dxa"/>
            <w:vAlign w:val="center"/>
          </w:tcPr>
          <w:p w:rsidR="001C66B0" w:rsidRDefault="00D005FC">
            <w:pPr>
              <w:widowControl/>
              <w:jc w:val="center"/>
              <w:rPr>
                <w:rFonts w:asciiTheme="minorEastAsia" w:hAnsiTheme="minorEastAsia" w:cs="宋体"/>
                <w:color w:val="231F20"/>
                <w:kern w:val="0"/>
                <w:szCs w:val="21"/>
              </w:rPr>
            </w:pPr>
            <w:r>
              <w:rPr>
                <w:rFonts w:asciiTheme="minorEastAsia" w:hAnsiTheme="minorEastAsia" w:cstheme="minorEastAsia" w:hint="eastAsia"/>
                <w:b/>
                <w:bCs/>
                <w:szCs w:val="21"/>
              </w:rPr>
              <w:t>风险检查项目</w:t>
            </w:r>
          </w:p>
        </w:tc>
        <w:tc>
          <w:tcPr>
            <w:tcW w:w="6492" w:type="dxa"/>
            <w:vAlign w:val="center"/>
          </w:tcPr>
          <w:p w:rsidR="001C66B0" w:rsidRDefault="00D005FC">
            <w:pPr>
              <w:widowControl/>
              <w:jc w:val="center"/>
              <w:rPr>
                <w:rFonts w:asciiTheme="minorEastAsia" w:hAnsiTheme="minorEastAsia" w:cs="宋体"/>
                <w:color w:val="231F20"/>
                <w:kern w:val="0"/>
                <w:szCs w:val="21"/>
              </w:rPr>
            </w:pPr>
            <w:r>
              <w:rPr>
                <w:rFonts w:asciiTheme="minorEastAsia" w:hAnsiTheme="minorEastAsia" w:cstheme="minorEastAsia" w:hint="eastAsia"/>
                <w:b/>
                <w:bCs/>
                <w:szCs w:val="21"/>
              </w:rPr>
              <w:t>基本内容</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8</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混凝土测试</w:t>
            </w:r>
          </w:p>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s="宋体"/>
                <w:color w:val="231F20"/>
                <w:kern w:val="0"/>
                <w:szCs w:val="21"/>
              </w:rPr>
              <w:t>（基础和主体结构）</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a）检查试块强度试验、抗渗试验等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b）回弹试验检测混凝土强度</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c）超声波检测强度、结构内部缺陷和裂缝、匀质性、损伤层厚度等</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d）钢筋探测仪检测钢筋数量、间距、保护层厚度等</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9</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地下室防水工程施工</w:t>
            </w:r>
          </w:p>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（包括材料检查，如抗渗混凝土、防水卷</w:t>
            </w:r>
          </w:p>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s="宋体"/>
                <w:color w:val="231F20"/>
                <w:kern w:val="0"/>
                <w:szCs w:val="21"/>
              </w:rPr>
              <w:t>材等）</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a）检查原材料产品合格证、出厂检验报告，混凝土配合比及坍落度是否符合规范要求，检查混凝土抗压、抗渗检验报告</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b）变形缝、施工缝、后浇带、穿墙管道、埋设件等设置和构造是否符合要求，是否有渗漏现象</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w:t>
            </w:r>
            <w:r>
              <w:rPr>
                <w:rFonts w:asciiTheme="minorEastAsia" w:hAnsiTheme="minorEastAsia" w:cs="宋体" w:hint="eastAsia"/>
                <w:color w:val="231F20"/>
                <w:kern w:val="0"/>
                <w:szCs w:val="21"/>
              </w:rPr>
              <w:t>水泥砂浆防水层表面是否密实、平整，有无裂纹、起砂、麻棉等缺陷</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d）卷材层基层是否牢固，基面是否有空鼓、松动、起砂和脱皮现象，搭接缝是否粘结牢固，密封严实，不得有皱折、翘边和鼓泡等缺陷</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e）涂料防水层表面平整、刷涂均匀，是否有流淌、皱折、鼓泡、露胎体和翘边等缺陷，厚度是否达到要求</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0</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屋面防水和保温工程</w:t>
            </w:r>
          </w:p>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s="宋体"/>
                <w:color w:val="231F20"/>
                <w:kern w:val="0"/>
                <w:szCs w:val="21"/>
              </w:rPr>
              <w:t>施工（包括材料检查，如防水卷材等）</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a）屋面工程所采用的防水、保温隔热材料应有产品合格证书和性能检测报告，材料的品种、规格、性能等应符合要求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b）找平层材料质量、配合比及排水坡度是否符合设计要求，有无酥松、起砂、起皮现象</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c）保温层含水率、厚度、铺设方法及质量是否满足设计要求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d）防水层基层外表平整、干净、干燥，外表不酥松</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e）卷材铺贴方法、方向是否符合规范要求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f）天沟、檐沟、水落口、泛水、变形缝和伸出屋面管道的防水构造是否符合要求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g）屋面排水坡度及排水方式</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h）淋水试验</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i）排水口检查是否符合设计要求，如坡度、口径等</w:t>
            </w:r>
          </w:p>
        </w:tc>
      </w:tr>
    </w:tbl>
    <w:p w:rsidR="001C66B0" w:rsidRDefault="001C66B0"/>
    <w:p w:rsidR="001C66B0" w:rsidRDefault="001C66B0"/>
    <w:p w:rsidR="001C66B0" w:rsidRDefault="001C66B0"/>
    <w:p w:rsidR="001C66B0" w:rsidRDefault="001C66B0"/>
    <w:p w:rsidR="001C66B0" w:rsidRDefault="001C66B0"/>
    <w:p w:rsidR="001C66B0" w:rsidRDefault="001C66B0"/>
    <w:p w:rsidR="001C66B0" w:rsidRDefault="001C66B0"/>
    <w:p w:rsidR="001C66B0" w:rsidRDefault="001C66B0"/>
    <w:p w:rsidR="001C66B0" w:rsidRDefault="001C66B0"/>
    <w:p w:rsidR="001C66B0" w:rsidRDefault="00D005FC">
      <w:pPr>
        <w:jc w:val="center"/>
      </w:pPr>
      <w:r>
        <w:rPr>
          <w:rFonts w:hint="eastAsia"/>
        </w:rPr>
        <w:lastRenderedPageBreak/>
        <w:t>续</w:t>
      </w:r>
      <w:r>
        <w:rPr>
          <w:rFonts w:asciiTheme="minorEastAsia" w:hAnsiTheme="minorEastAsia" w:hint="eastAsia"/>
        </w:rPr>
        <w:t>表B</w:t>
      </w:r>
    </w:p>
    <w:tbl>
      <w:tblPr>
        <w:tblStyle w:val="af1"/>
        <w:tblW w:w="0" w:type="auto"/>
        <w:jc w:val="center"/>
        <w:tblLook w:val="04A0"/>
      </w:tblPr>
      <w:tblGrid>
        <w:gridCol w:w="704"/>
        <w:gridCol w:w="1521"/>
        <w:gridCol w:w="6492"/>
      </w:tblGrid>
      <w:tr w:rsidR="001C66B0">
        <w:trPr>
          <w:cantSplit/>
          <w:trHeight w:val="432"/>
          <w:jc w:val="center"/>
        </w:trPr>
        <w:tc>
          <w:tcPr>
            <w:tcW w:w="704" w:type="dxa"/>
            <w:vAlign w:val="center"/>
          </w:tcPr>
          <w:p w:rsidR="001C66B0" w:rsidRDefault="00D005FC">
            <w:pPr>
              <w:widowControl/>
              <w:jc w:val="center"/>
              <w:rPr>
                <w:rFonts w:asciiTheme="minorEastAsia" w:hAnsiTheme="minorEastAsia"/>
                <w:color w:val="231F20"/>
                <w:szCs w:val="21"/>
              </w:rPr>
            </w:pPr>
            <w:r>
              <w:rPr>
                <w:rFonts w:asciiTheme="minorEastAsia" w:hAnsiTheme="minorEastAsia" w:cstheme="minorEastAsia" w:hint="eastAsia"/>
                <w:b/>
                <w:bCs/>
                <w:szCs w:val="21"/>
              </w:rPr>
              <w:t>序号</w:t>
            </w:r>
          </w:p>
        </w:tc>
        <w:tc>
          <w:tcPr>
            <w:tcW w:w="1521" w:type="dxa"/>
            <w:vAlign w:val="center"/>
          </w:tcPr>
          <w:p w:rsidR="001C66B0" w:rsidRDefault="00D005FC">
            <w:pPr>
              <w:widowControl/>
              <w:jc w:val="center"/>
              <w:rPr>
                <w:rFonts w:asciiTheme="minorEastAsia" w:hAnsiTheme="minorEastAsia" w:cs="宋体"/>
                <w:kern w:val="0"/>
                <w:szCs w:val="21"/>
              </w:rPr>
            </w:pPr>
            <w:r>
              <w:rPr>
                <w:rFonts w:asciiTheme="minorEastAsia" w:hAnsiTheme="minorEastAsia" w:cstheme="minorEastAsia" w:hint="eastAsia"/>
                <w:b/>
                <w:bCs/>
                <w:szCs w:val="21"/>
              </w:rPr>
              <w:t>风险检查项目</w:t>
            </w:r>
          </w:p>
        </w:tc>
        <w:tc>
          <w:tcPr>
            <w:tcW w:w="6492" w:type="dxa"/>
            <w:vAlign w:val="center"/>
          </w:tcPr>
          <w:p w:rsidR="001C66B0" w:rsidRDefault="00D005FC">
            <w:pPr>
              <w:widowControl/>
              <w:jc w:val="center"/>
              <w:rPr>
                <w:rFonts w:asciiTheme="minorEastAsia" w:hAnsiTheme="minorEastAsia" w:cs="宋体"/>
                <w:color w:val="231F20"/>
                <w:kern w:val="0"/>
                <w:szCs w:val="21"/>
              </w:rPr>
            </w:pPr>
            <w:r>
              <w:rPr>
                <w:rFonts w:asciiTheme="minorEastAsia" w:hAnsiTheme="minorEastAsia" w:cstheme="minorEastAsia" w:hint="eastAsia"/>
                <w:b/>
                <w:bCs/>
                <w:szCs w:val="21"/>
              </w:rPr>
              <w:t>基本内容</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1</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外墙工程施工查勘</w:t>
            </w:r>
          </w:p>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s="宋体"/>
                <w:color w:val="231F20"/>
                <w:kern w:val="0"/>
                <w:szCs w:val="21"/>
              </w:rPr>
              <w:t>（保温及外立面，包括材料检查，如砂浆、粘合剂等）</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a）用于墙体工程的材料、构件等，其品种、规格是否符合设计要求和相关标准的规定</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b）墙体节能工程的保温材料在施工过程中是否采取防潮、防水等保护措施</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c）墙体工程各层构造做法是否符合要求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d）外墙外保温层及饰面层与其他部位交接的收口处，是否采取密封措施</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e）面层有无空鼓和裂缝</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2</w:t>
            </w:r>
          </w:p>
        </w:tc>
        <w:tc>
          <w:tcPr>
            <w:tcW w:w="1521" w:type="dxa"/>
            <w:vAlign w:val="center"/>
          </w:tcPr>
          <w:p w:rsidR="001C66B0" w:rsidRDefault="00D005FC">
            <w:pPr>
              <w:widowControl/>
              <w:spacing w:line="360" w:lineRule="auto"/>
              <w:jc w:val="center"/>
              <w:rPr>
                <w:rFonts w:asciiTheme="minorEastAsia" w:hAnsiTheme="minorEastAsia" w:cs="宋体"/>
                <w:kern w:val="0"/>
                <w:szCs w:val="21"/>
              </w:rPr>
            </w:pPr>
            <w:r>
              <w:rPr>
                <w:rFonts w:asciiTheme="minorEastAsia" w:hAnsiTheme="minorEastAsia" w:cs="宋体"/>
                <w:color w:val="231F20"/>
                <w:kern w:val="0"/>
                <w:szCs w:val="21"/>
              </w:rPr>
              <w:t>厨卫防水工程施工查勘（包括材料检查，如防水涂料等）</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a）检查防水材料产品合格证书</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b）基层表面应平整，不得有空鼓、起砂、开裂等缺陷。基层含水率应符合防水材料的施工要求</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c）防水层应从地面延伸到墙面，高出地面的高度符合要求。浴室墙面的防水层高度不得低于 1800mm</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d）涂膜防水层涂刷均匀，厚度满足产品技术规定的要求，一般厚度不少于 1.5mm 不露底</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e）涂膜表面不起泡、不流淌、平整无凹凸，与管件、洁具地脚、地漏、排水口接缝严密收头圆滑不渗漏</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f）保护层水泥砂浆厚度、强度必须符合设计要求，操作时严禁破坏防水层，根据设计要求做好地面泛水坡度，排水要畅通、不得有积水倒坡现象</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g）蓄水检验</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3</w:t>
            </w:r>
          </w:p>
        </w:tc>
        <w:tc>
          <w:tcPr>
            <w:tcW w:w="1521" w:type="dxa"/>
            <w:vAlign w:val="center"/>
          </w:tcPr>
          <w:p w:rsidR="001C66B0" w:rsidRDefault="00D005FC">
            <w:pPr>
              <w:widowControl/>
              <w:spacing w:line="360" w:lineRule="auto"/>
              <w:jc w:val="center"/>
              <w:rPr>
                <w:rFonts w:asciiTheme="minorEastAsia" w:hAnsiTheme="minorEastAsia" w:cs="宋体"/>
                <w:color w:val="231F20"/>
                <w:kern w:val="0"/>
                <w:szCs w:val="21"/>
              </w:rPr>
            </w:pPr>
            <w:r>
              <w:rPr>
                <w:rFonts w:asciiTheme="minorEastAsia" w:hAnsiTheme="minorEastAsia"/>
                <w:color w:val="231F20"/>
                <w:szCs w:val="21"/>
              </w:rPr>
              <w:t>防水相关测试检查</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hint="eastAsia"/>
                <w:color w:val="231F20"/>
                <w:kern w:val="0"/>
                <w:szCs w:val="21"/>
              </w:rPr>
              <w:t>厨卫、屋面、天沟、外墙及有防水要求的部位，应进行相关防水性能测试试验，</w:t>
            </w:r>
            <w:r>
              <w:rPr>
                <w:rFonts w:asciiTheme="minorEastAsia" w:hAnsiTheme="minorEastAsia" w:cs="宋体"/>
                <w:color w:val="231F20"/>
                <w:kern w:val="0"/>
                <w:szCs w:val="21"/>
              </w:rPr>
              <w:t>风险管理机构检查测试过程和结果</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a）外墙淋水 30 分钟，观察是否存在渗漏等现象</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b）</w:t>
            </w:r>
            <w:r>
              <w:rPr>
                <w:rFonts w:asciiTheme="minorEastAsia" w:hAnsiTheme="minorEastAsia" w:cs="宋体" w:hint="eastAsia"/>
                <w:color w:val="231F20"/>
                <w:kern w:val="0"/>
                <w:szCs w:val="21"/>
              </w:rPr>
              <w:t>检查屋面有无渗漏、积水和排水系统是否通畅，应在雨后或持续淋水2小时后进行。具备蓄水条件的檐沟、天沟应进行蓄水试验，蓄水时间不少于24小时</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c）卫生间做 24 小时蓄水试验，检查是否存在渗漏现象</w:t>
            </w:r>
          </w:p>
        </w:tc>
      </w:tr>
    </w:tbl>
    <w:p w:rsidR="001C66B0" w:rsidRDefault="001C66B0">
      <w:pPr>
        <w:jc w:val="center"/>
      </w:pPr>
    </w:p>
    <w:p w:rsidR="001C66B0" w:rsidRDefault="001C66B0">
      <w:pPr>
        <w:jc w:val="center"/>
      </w:pPr>
    </w:p>
    <w:p w:rsidR="001C66B0" w:rsidRDefault="001C66B0">
      <w:pPr>
        <w:jc w:val="center"/>
      </w:pPr>
    </w:p>
    <w:p w:rsidR="001C66B0" w:rsidRDefault="001C66B0">
      <w:pPr>
        <w:jc w:val="center"/>
      </w:pPr>
    </w:p>
    <w:p w:rsidR="001C66B0" w:rsidRDefault="001C66B0">
      <w:pPr>
        <w:jc w:val="center"/>
      </w:pPr>
    </w:p>
    <w:p w:rsidR="001C66B0" w:rsidRDefault="001C66B0">
      <w:pPr>
        <w:jc w:val="center"/>
      </w:pPr>
    </w:p>
    <w:p w:rsidR="001C66B0" w:rsidRDefault="00D005FC">
      <w:pPr>
        <w:jc w:val="center"/>
      </w:pPr>
      <w:r>
        <w:rPr>
          <w:rFonts w:hint="eastAsia"/>
        </w:rPr>
        <w:lastRenderedPageBreak/>
        <w:t>续</w:t>
      </w:r>
      <w:r>
        <w:rPr>
          <w:rFonts w:asciiTheme="minorEastAsia" w:hAnsiTheme="minorEastAsia" w:hint="eastAsia"/>
        </w:rPr>
        <w:t>表B</w:t>
      </w:r>
    </w:p>
    <w:tbl>
      <w:tblPr>
        <w:tblStyle w:val="af1"/>
        <w:tblW w:w="0" w:type="auto"/>
        <w:jc w:val="center"/>
        <w:tblLook w:val="04A0"/>
      </w:tblPr>
      <w:tblGrid>
        <w:gridCol w:w="704"/>
        <w:gridCol w:w="1521"/>
        <w:gridCol w:w="6492"/>
      </w:tblGrid>
      <w:tr w:rsidR="001C66B0">
        <w:trPr>
          <w:cantSplit/>
          <w:trHeight w:val="432"/>
          <w:jc w:val="center"/>
        </w:trPr>
        <w:tc>
          <w:tcPr>
            <w:tcW w:w="704" w:type="dxa"/>
            <w:vAlign w:val="center"/>
          </w:tcPr>
          <w:p w:rsidR="001C66B0" w:rsidRDefault="00D005FC">
            <w:pPr>
              <w:widowControl/>
              <w:jc w:val="center"/>
              <w:rPr>
                <w:rFonts w:asciiTheme="minorEastAsia" w:hAnsiTheme="minorEastAsia"/>
                <w:color w:val="231F20"/>
                <w:szCs w:val="21"/>
              </w:rPr>
            </w:pPr>
            <w:r>
              <w:rPr>
                <w:rFonts w:asciiTheme="minorEastAsia" w:hAnsiTheme="minorEastAsia" w:cstheme="minorEastAsia" w:hint="eastAsia"/>
                <w:b/>
                <w:bCs/>
                <w:szCs w:val="21"/>
              </w:rPr>
              <w:t>序号</w:t>
            </w:r>
          </w:p>
        </w:tc>
        <w:tc>
          <w:tcPr>
            <w:tcW w:w="1521" w:type="dxa"/>
            <w:vAlign w:val="center"/>
          </w:tcPr>
          <w:p w:rsidR="001C66B0" w:rsidRDefault="00D005FC">
            <w:pPr>
              <w:widowControl/>
              <w:jc w:val="center"/>
              <w:rPr>
                <w:rFonts w:asciiTheme="minorEastAsia" w:hAnsiTheme="minorEastAsia"/>
                <w:color w:val="231F20"/>
                <w:szCs w:val="21"/>
              </w:rPr>
            </w:pPr>
            <w:r>
              <w:rPr>
                <w:rFonts w:asciiTheme="minorEastAsia" w:hAnsiTheme="minorEastAsia" w:cstheme="minorEastAsia" w:hint="eastAsia"/>
                <w:b/>
                <w:bCs/>
                <w:szCs w:val="21"/>
              </w:rPr>
              <w:t>风险检查项目</w:t>
            </w:r>
          </w:p>
        </w:tc>
        <w:tc>
          <w:tcPr>
            <w:tcW w:w="6492" w:type="dxa"/>
            <w:vAlign w:val="center"/>
          </w:tcPr>
          <w:p w:rsidR="001C66B0" w:rsidRDefault="00D005FC">
            <w:pPr>
              <w:widowControl/>
              <w:jc w:val="center"/>
              <w:rPr>
                <w:rFonts w:asciiTheme="minorEastAsia" w:hAnsiTheme="minorEastAsia" w:cs="宋体"/>
                <w:color w:val="231F20"/>
                <w:kern w:val="0"/>
                <w:szCs w:val="21"/>
              </w:rPr>
            </w:pPr>
            <w:r>
              <w:rPr>
                <w:rFonts w:asciiTheme="minorEastAsia" w:hAnsiTheme="minorEastAsia" w:cstheme="minorEastAsia" w:hint="eastAsia"/>
                <w:b/>
                <w:bCs/>
                <w:szCs w:val="21"/>
              </w:rPr>
              <w:t>基本内容</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stheme="minorEastAsia"/>
                <w:b/>
                <w:bCs/>
                <w:szCs w:val="21"/>
              </w:rPr>
            </w:pPr>
            <w:r>
              <w:rPr>
                <w:rFonts w:asciiTheme="minorEastAsia" w:hAnsiTheme="minorEastAsia" w:hint="eastAsia"/>
                <w:color w:val="231F20"/>
                <w:szCs w:val="21"/>
              </w:rPr>
              <w:t>1</w:t>
            </w:r>
            <w:r>
              <w:rPr>
                <w:rFonts w:asciiTheme="minorEastAsia" w:hAnsiTheme="minorEastAsia"/>
                <w:color w:val="231F20"/>
                <w:szCs w:val="21"/>
              </w:rPr>
              <w:t>4</w:t>
            </w:r>
          </w:p>
        </w:tc>
        <w:tc>
          <w:tcPr>
            <w:tcW w:w="1521" w:type="dxa"/>
            <w:vAlign w:val="center"/>
          </w:tcPr>
          <w:p w:rsidR="001C66B0" w:rsidRDefault="00D005FC">
            <w:pPr>
              <w:widowControl/>
              <w:spacing w:line="360" w:lineRule="auto"/>
              <w:jc w:val="center"/>
              <w:rPr>
                <w:rFonts w:asciiTheme="minorEastAsia" w:hAnsiTheme="minorEastAsia" w:cstheme="minorEastAsia"/>
                <w:b/>
                <w:bCs/>
                <w:szCs w:val="21"/>
              </w:rPr>
            </w:pPr>
            <w:r>
              <w:rPr>
                <w:rFonts w:asciiTheme="minorEastAsia" w:hAnsiTheme="minorEastAsia"/>
                <w:color w:val="231F20"/>
                <w:szCs w:val="21"/>
              </w:rPr>
              <w:t>沉降观测结果审核</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a）检查沉降观测方法、沉降观测周期和沉降观测时间是否合理</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b）检查部分沉降观测施工进度，并观察荷载量增加情况下的建筑物状态，是否出现倾斜、裂缝等各种影响沉降变化和异常的情况</w:t>
            </w:r>
          </w:p>
          <w:p w:rsidR="001C66B0" w:rsidRDefault="00D005FC">
            <w:pPr>
              <w:widowControl/>
              <w:spacing w:line="360" w:lineRule="auto"/>
              <w:jc w:val="left"/>
              <w:rPr>
                <w:rFonts w:asciiTheme="minorEastAsia" w:hAnsiTheme="minorEastAsia" w:cstheme="minorEastAsia"/>
                <w:b/>
                <w:bCs/>
                <w:szCs w:val="21"/>
              </w:rPr>
            </w:pPr>
            <w:r>
              <w:rPr>
                <w:rFonts w:asciiTheme="minorEastAsia" w:hAnsiTheme="minorEastAsia" w:cs="宋体"/>
                <w:color w:val="231F20"/>
                <w:kern w:val="0"/>
                <w:szCs w:val="21"/>
              </w:rPr>
              <w:t>c）根据测定标高及地基的沉降量、沉降差及沉降速度，计算基础倾斜、局部倾斜、相对弯曲及构件倾斜等</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5</w:t>
            </w:r>
          </w:p>
        </w:tc>
        <w:tc>
          <w:tcPr>
            <w:tcW w:w="1521"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color w:val="231F20"/>
                <w:szCs w:val="21"/>
              </w:rPr>
              <w:t>意外事件审核</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当出现意外质量事件时，出具本表，意外事件包括质检机构签发整改通知书、监理签发工程暂停令、出现重大质量事故等</w:t>
            </w:r>
          </w:p>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a）记载时间、事件过程、原因、整改要求、处理结果等</w:t>
            </w:r>
          </w:p>
          <w:p w:rsidR="001C66B0" w:rsidRDefault="00D005FC">
            <w:pPr>
              <w:widowControl/>
              <w:spacing w:line="360" w:lineRule="auto"/>
              <w:jc w:val="left"/>
              <w:rPr>
                <w:rFonts w:asciiTheme="minorEastAsia" w:hAnsiTheme="minorEastAsia" w:cs="宋体"/>
                <w:color w:val="231F20"/>
                <w:kern w:val="0"/>
                <w:szCs w:val="21"/>
              </w:rPr>
            </w:pPr>
            <w:r>
              <w:rPr>
                <w:rFonts w:asciiTheme="minorEastAsia" w:hAnsiTheme="minorEastAsia" w:cs="宋体"/>
                <w:color w:val="231F20"/>
                <w:kern w:val="0"/>
                <w:szCs w:val="21"/>
              </w:rPr>
              <w:t>b）分析对该事件对质量情况的影响</w:t>
            </w:r>
          </w:p>
        </w:tc>
      </w:tr>
      <w:tr w:rsidR="001C66B0">
        <w:trPr>
          <w:cantSplit/>
          <w:jc w:val="center"/>
        </w:trPr>
        <w:tc>
          <w:tcPr>
            <w:tcW w:w="704"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hint="eastAsia"/>
                <w:color w:val="231F20"/>
                <w:szCs w:val="21"/>
              </w:rPr>
              <w:t>1</w:t>
            </w:r>
            <w:r>
              <w:rPr>
                <w:rFonts w:asciiTheme="minorEastAsia" w:hAnsiTheme="minorEastAsia"/>
                <w:color w:val="231F20"/>
                <w:szCs w:val="21"/>
              </w:rPr>
              <w:t>6</w:t>
            </w:r>
          </w:p>
        </w:tc>
        <w:tc>
          <w:tcPr>
            <w:tcW w:w="1521" w:type="dxa"/>
            <w:vAlign w:val="center"/>
          </w:tcPr>
          <w:p w:rsidR="001C66B0" w:rsidRDefault="00D005FC">
            <w:pPr>
              <w:widowControl/>
              <w:spacing w:line="360" w:lineRule="auto"/>
              <w:jc w:val="center"/>
              <w:rPr>
                <w:rFonts w:asciiTheme="minorEastAsia" w:hAnsiTheme="minorEastAsia"/>
                <w:color w:val="231F20"/>
                <w:szCs w:val="21"/>
              </w:rPr>
            </w:pPr>
            <w:r>
              <w:rPr>
                <w:rFonts w:asciiTheme="minorEastAsia" w:hAnsiTheme="minorEastAsia"/>
                <w:color w:val="231F20"/>
                <w:szCs w:val="21"/>
              </w:rPr>
              <w:t>其他日常工作内容</w:t>
            </w:r>
          </w:p>
        </w:tc>
        <w:tc>
          <w:tcPr>
            <w:tcW w:w="6492" w:type="dxa"/>
          </w:tcPr>
          <w:p w:rsidR="001C66B0" w:rsidRDefault="00D005FC">
            <w:pPr>
              <w:widowControl/>
              <w:spacing w:line="360" w:lineRule="auto"/>
              <w:jc w:val="left"/>
              <w:rPr>
                <w:rFonts w:asciiTheme="minorEastAsia" w:hAnsiTheme="minorEastAsia" w:cs="宋体"/>
                <w:kern w:val="0"/>
                <w:szCs w:val="21"/>
              </w:rPr>
            </w:pPr>
            <w:r>
              <w:rPr>
                <w:rFonts w:asciiTheme="minorEastAsia" w:hAnsiTheme="minorEastAsia" w:cs="宋体"/>
                <w:color w:val="231F20"/>
                <w:kern w:val="0"/>
                <w:szCs w:val="21"/>
              </w:rPr>
              <w:t>审阅工作联系单、工作日志等，记录工程名称、地点、日期、原因，详细内容描述以及各方签字</w:t>
            </w:r>
          </w:p>
        </w:tc>
      </w:tr>
    </w:tbl>
    <w:p w:rsidR="001C66B0" w:rsidRDefault="001C66B0">
      <w:pPr>
        <w:jc w:val="center"/>
      </w:pPr>
    </w:p>
    <w:p w:rsidR="001C66B0" w:rsidRDefault="00D005FC">
      <w:pPr>
        <w:jc w:val="center"/>
      </w:pPr>
      <w:r>
        <w:br w:type="page"/>
      </w: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74" w:name="_Toc176713678"/>
      <w:r>
        <w:rPr>
          <w:rFonts w:asciiTheme="minorEastAsia" w:hAnsiTheme="minorEastAsia" w:cstheme="minorEastAsia" w:hint="eastAsia"/>
          <w:b/>
          <w:bCs/>
        </w:rPr>
        <w:lastRenderedPageBreak/>
        <w:t>附录C 安全风险管理重点关注的内容</w:t>
      </w:r>
      <w:bookmarkEnd w:id="74"/>
    </w:p>
    <w:p w:rsidR="001C66B0" w:rsidRDefault="001C66B0">
      <w:pPr>
        <w:jc w:val="center"/>
      </w:pPr>
    </w:p>
    <w:p w:rsidR="001C66B0" w:rsidRDefault="00D005FC">
      <w:pPr>
        <w:jc w:val="center"/>
        <w:rPr>
          <w:b/>
        </w:rPr>
      </w:pPr>
      <w:r>
        <w:rPr>
          <w:rFonts w:hint="eastAsia"/>
          <w:b/>
        </w:rPr>
        <w:t>安全风险管理重点关注内容</w:t>
      </w:r>
    </w:p>
    <w:p w:rsidR="001C66B0" w:rsidRDefault="001C66B0">
      <w:pPr>
        <w:jc w:val="center"/>
      </w:pP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施工安全管理有下列情形之一的：</w:t>
      </w:r>
    </w:p>
    <w:p w:rsidR="001C66B0" w:rsidRDefault="00D005FC">
      <w:pPr>
        <w:pStyle w:val="a6"/>
        <w:numPr>
          <w:ilvl w:val="0"/>
          <w:numId w:val="64"/>
        </w:numPr>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建筑施工企业未取得安全生产许可证擅自从事建筑施工活动；</w:t>
      </w:r>
    </w:p>
    <w:p w:rsidR="001C66B0" w:rsidRDefault="00D005FC">
      <w:pPr>
        <w:pStyle w:val="a6"/>
        <w:numPr>
          <w:ilvl w:val="0"/>
          <w:numId w:val="64"/>
        </w:numPr>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施工单位的主要负责人、项目负责人、专职安全生产管理人员未取得安全生产考核合格证书从事相关工作；</w:t>
      </w:r>
    </w:p>
    <w:p w:rsidR="001C66B0" w:rsidRDefault="00D005FC">
      <w:pPr>
        <w:pStyle w:val="a6"/>
        <w:numPr>
          <w:ilvl w:val="0"/>
          <w:numId w:val="64"/>
        </w:numPr>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建筑施工特种作业人员未取得特种作业人员操作资格证书上岗作业；</w:t>
      </w:r>
    </w:p>
    <w:p w:rsidR="001C66B0" w:rsidRDefault="00D005FC">
      <w:pPr>
        <w:pStyle w:val="a6"/>
        <w:numPr>
          <w:ilvl w:val="0"/>
          <w:numId w:val="64"/>
        </w:numPr>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危险性较大的分部分项工程未编制、未审核专项施工方案，或未按规定组织专家对“超过一定规模的危险性较大的分部分项工程范围”的专项施工方案进行论证。</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基坑工程有下列情形之一的：</w:t>
      </w:r>
    </w:p>
    <w:p w:rsidR="001C66B0" w:rsidRDefault="00D005FC">
      <w:pPr>
        <w:pStyle w:val="a6"/>
        <w:numPr>
          <w:ilvl w:val="0"/>
          <w:numId w:val="65"/>
        </w:numPr>
        <w:tabs>
          <w:tab w:val="left" w:pos="142"/>
        </w:tabs>
        <w:spacing w:line="360" w:lineRule="auto"/>
        <w:ind w:left="851" w:rightChars="-31" w:right="-65" w:hanging="283"/>
        <w:jc w:val="left"/>
        <w:rPr>
          <w:rFonts w:asciiTheme="minorEastAsia" w:hAnsiTheme="minorEastAsia" w:cstheme="minorEastAsia"/>
          <w:bCs/>
        </w:rPr>
      </w:pPr>
      <w:r>
        <w:rPr>
          <w:rFonts w:asciiTheme="minorEastAsia" w:hAnsiTheme="minorEastAsia" w:cstheme="minorEastAsia" w:hint="eastAsia"/>
          <w:bCs/>
        </w:rPr>
        <w:t>对因基坑工程施工可能造成损害的毗邻重要建筑物、构筑物和地下管线等,未采取专项防护措施；</w:t>
      </w:r>
    </w:p>
    <w:p w:rsidR="001C66B0" w:rsidRDefault="00D005FC">
      <w:pPr>
        <w:pStyle w:val="a6"/>
        <w:numPr>
          <w:ilvl w:val="0"/>
          <w:numId w:val="65"/>
        </w:numPr>
        <w:tabs>
          <w:tab w:val="left" w:pos="142"/>
        </w:tabs>
        <w:spacing w:line="360" w:lineRule="auto"/>
        <w:ind w:left="851" w:rightChars="-31" w:right="-65" w:hanging="283"/>
        <w:jc w:val="left"/>
        <w:rPr>
          <w:rFonts w:asciiTheme="minorEastAsia" w:hAnsiTheme="minorEastAsia" w:cstheme="minorEastAsia"/>
          <w:bCs/>
        </w:rPr>
      </w:pPr>
      <w:r>
        <w:rPr>
          <w:rFonts w:asciiTheme="minorEastAsia" w:hAnsiTheme="minorEastAsia" w:cstheme="minorEastAsia" w:hint="eastAsia"/>
          <w:bCs/>
        </w:rPr>
        <w:t>基坑土方超挖且未采取有效措施；</w:t>
      </w:r>
    </w:p>
    <w:p w:rsidR="001C66B0" w:rsidRDefault="00D005FC">
      <w:pPr>
        <w:pStyle w:val="a6"/>
        <w:numPr>
          <w:ilvl w:val="0"/>
          <w:numId w:val="65"/>
        </w:numPr>
        <w:tabs>
          <w:tab w:val="left" w:pos="142"/>
        </w:tabs>
        <w:spacing w:line="360" w:lineRule="auto"/>
        <w:ind w:left="851" w:rightChars="-31" w:right="-65" w:hanging="283"/>
        <w:jc w:val="left"/>
        <w:rPr>
          <w:rFonts w:asciiTheme="minorEastAsia" w:hAnsiTheme="minorEastAsia" w:cstheme="minorEastAsia"/>
          <w:bCs/>
        </w:rPr>
      </w:pPr>
      <w:r>
        <w:rPr>
          <w:rFonts w:asciiTheme="minorEastAsia" w:hAnsiTheme="minorEastAsia" w:cstheme="minorEastAsia" w:hint="eastAsia"/>
          <w:bCs/>
        </w:rPr>
        <w:t>深基坑施工未进行第三方监测；</w:t>
      </w:r>
    </w:p>
    <w:p w:rsidR="001C66B0" w:rsidRDefault="00D005FC">
      <w:pPr>
        <w:pStyle w:val="a6"/>
        <w:numPr>
          <w:ilvl w:val="0"/>
          <w:numId w:val="65"/>
        </w:numPr>
        <w:tabs>
          <w:tab w:val="left" w:pos="142"/>
        </w:tabs>
        <w:spacing w:line="360" w:lineRule="auto"/>
        <w:ind w:left="851" w:rightChars="-31" w:right="-65" w:hanging="283"/>
        <w:jc w:val="left"/>
        <w:rPr>
          <w:rFonts w:asciiTheme="minorEastAsia" w:hAnsiTheme="minorEastAsia" w:cstheme="minorEastAsia"/>
          <w:bCs/>
        </w:rPr>
      </w:pPr>
      <w:r>
        <w:rPr>
          <w:rFonts w:asciiTheme="minorEastAsia" w:hAnsiTheme="minorEastAsia" w:cstheme="minorEastAsia" w:hint="eastAsia"/>
          <w:bCs/>
        </w:rPr>
        <w:t>有下列基坑坍塌风险预兆之一，且未及时处理：</w:t>
      </w:r>
    </w:p>
    <w:p w:rsidR="001C66B0" w:rsidRDefault="00D005FC">
      <w:pPr>
        <w:pStyle w:val="a6"/>
        <w:numPr>
          <w:ilvl w:val="3"/>
          <w:numId w:val="66"/>
        </w:numPr>
        <w:tabs>
          <w:tab w:val="left" w:pos="142"/>
        </w:tabs>
        <w:spacing w:line="360" w:lineRule="auto"/>
        <w:ind w:left="1276" w:rightChars="-31" w:right="-65"/>
        <w:jc w:val="left"/>
        <w:rPr>
          <w:rFonts w:asciiTheme="minorEastAsia" w:hAnsiTheme="minorEastAsia" w:cstheme="minorEastAsia"/>
          <w:bCs/>
        </w:rPr>
      </w:pPr>
      <w:r>
        <w:rPr>
          <w:rFonts w:asciiTheme="minorEastAsia" w:hAnsiTheme="minorEastAsia" w:cstheme="minorEastAsia" w:hint="eastAsia"/>
          <w:bCs/>
        </w:rPr>
        <w:t>支护结构或周边建筑物变形值超过设计变形控制值；</w:t>
      </w:r>
    </w:p>
    <w:p w:rsidR="001C66B0" w:rsidRDefault="00D005FC">
      <w:pPr>
        <w:pStyle w:val="a6"/>
        <w:numPr>
          <w:ilvl w:val="3"/>
          <w:numId w:val="66"/>
        </w:numPr>
        <w:tabs>
          <w:tab w:val="left" w:pos="142"/>
        </w:tabs>
        <w:spacing w:line="360" w:lineRule="auto"/>
        <w:ind w:left="1276" w:rightChars="-31" w:right="-65"/>
        <w:jc w:val="left"/>
        <w:rPr>
          <w:rFonts w:asciiTheme="minorEastAsia" w:hAnsiTheme="minorEastAsia" w:cstheme="minorEastAsia"/>
          <w:bCs/>
        </w:rPr>
      </w:pPr>
      <w:r>
        <w:rPr>
          <w:rFonts w:asciiTheme="minorEastAsia" w:hAnsiTheme="minorEastAsia" w:cstheme="minorEastAsia" w:hint="eastAsia"/>
          <w:bCs/>
        </w:rPr>
        <w:t>基坑侧壁出现大量漏水、流土；</w:t>
      </w:r>
    </w:p>
    <w:p w:rsidR="001C66B0" w:rsidRDefault="00D005FC">
      <w:pPr>
        <w:pStyle w:val="a6"/>
        <w:numPr>
          <w:ilvl w:val="3"/>
          <w:numId w:val="66"/>
        </w:numPr>
        <w:tabs>
          <w:tab w:val="left" w:pos="142"/>
        </w:tabs>
        <w:spacing w:line="360" w:lineRule="auto"/>
        <w:ind w:left="1276" w:rightChars="-31" w:right="-65"/>
        <w:jc w:val="left"/>
        <w:rPr>
          <w:rFonts w:asciiTheme="minorEastAsia" w:hAnsiTheme="minorEastAsia" w:cstheme="minorEastAsia"/>
          <w:bCs/>
        </w:rPr>
      </w:pPr>
      <w:r>
        <w:rPr>
          <w:rFonts w:asciiTheme="minorEastAsia" w:hAnsiTheme="minorEastAsia" w:cstheme="minorEastAsia" w:hint="eastAsia"/>
          <w:bCs/>
        </w:rPr>
        <w:t>基坑底部出现管涌；</w:t>
      </w:r>
    </w:p>
    <w:p w:rsidR="001C66B0" w:rsidRDefault="00D005FC">
      <w:pPr>
        <w:pStyle w:val="a6"/>
        <w:numPr>
          <w:ilvl w:val="3"/>
          <w:numId w:val="66"/>
        </w:numPr>
        <w:tabs>
          <w:tab w:val="left" w:pos="142"/>
        </w:tabs>
        <w:spacing w:line="360" w:lineRule="auto"/>
        <w:ind w:left="1276" w:rightChars="-31" w:right="-65"/>
        <w:jc w:val="left"/>
        <w:rPr>
          <w:rFonts w:asciiTheme="minorEastAsia" w:hAnsiTheme="minorEastAsia" w:cstheme="minorEastAsia"/>
          <w:bCs/>
        </w:rPr>
      </w:pPr>
      <w:r>
        <w:rPr>
          <w:rFonts w:asciiTheme="minorEastAsia" w:hAnsiTheme="minorEastAsia" w:cstheme="minorEastAsia" w:hint="eastAsia"/>
          <w:bCs/>
        </w:rPr>
        <w:t>桩间土流失孔洞深度超过桩径。</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模板工程有下列情形之一的：</w:t>
      </w:r>
    </w:p>
    <w:p w:rsidR="001C66B0" w:rsidRDefault="00D005FC">
      <w:pPr>
        <w:pStyle w:val="a6"/>
        <w:numPr>
          <w:ilvl w:val="0"/>
          <w:numId w:val="67"/>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模板工程的地基基础承载力和变形不满足设计要求；</w:t>
      </w:r>
    </w:p>
    <w:p w:rsidR="001C66B0" w:rsidRDefault="00D005FC">
      <w:pPr>
        <w:pStyle w:val="a6"/>
        <w:numPr>
          <w:ilvl w:val="0"/>
          <w:numId w:val="67"/>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模板支架承受的施工荷载超过设计值；</w:t>
      </w:r>
    </w:p>
    <w:p w:rsidR="001C66B0" w:rsidRDefault="00D005FC">
      <w:pPr>
        <w:pStyle w:val="a6"/>
        <w:numPr>
          <w:ilvl w:val="0"/>
          <w:numId w:val="67"/>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模板支架拆除及滑模、爬模爬升时，混凝土强度未达到设计或规范要求。</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脚手架工程有下列情形之一的：</w:t>
      </w:r>
    </w:p>
    <w:p w:rsidR="001C66B0" w:rsidRDefault="00D005FC">
      <w:pPr>
        <w:pStyle w:val="a6"/>
        <w:numPr>
          <w:ilvl w:val="0"/>
          <w:numId w:val="68"/>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脚手架工程的地基基础承载力和变形不满足设计要求；</w:t>
      </w:r>
    </w:p>
    <w:p w:rsidR="001C66B0" w:rsidRDefault="00D005FC">
      <w:pPr>
        <w:pStyle w:val="a6"/>
        <w:numPr>
          <w:ilvl w:val="0"/>
          <w:numId w:val="68"/>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未设置连墙件或连墙件整层缺失；</w:t>
      </w:r>
    </w:p>
    <w:p w:rsidR="001C66B0" w:rsidRDefault="00D005FC">
      <w:pPr>
        <w:pStyle w:val="a6"/>
        <w:numPr>
          <w:ilvl w:val="0"/>
          <w:numId w:val="68"/>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附着式升降脚手架未经验收合格即投入使用；</w:t>
      </w:r>
    </w:p>
    <w:p w:rsidR="001C66B0" w:rsidRDefault="00D005FC">
      <w:pPr>
        <w:pStyle w:val="a6"/>
        <w:numPr>
          <w:ilvl w:val="0"/>
          <w:numId w:val="68"/>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附着式升降脚手架的防倾覆、防坠落或同步升降控制装置不符合设计要求、失效、被人为拆除破坏；</w:t>
      </w:r>
    </w:p>
    <w:p w:rsidR="001C66B0" w:rsidRDefault="00D005FC">
      <w:pPr>
        <w:pStyle w:val="a6"/>
        <w:numPr>
          <w:ilvl w:val="0"/>
          <w:numId w:val="68"/>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附着式升降脚手架使用过程中架体悬臂高度大于架体高度的2/5或大于6米。</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起重机械及吊装工程有下列情形之一的：</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塔式起重机、施工升降机、物料提升机等起重机械设备未经验收合格即投入使用，或未按规定办理使用登记；</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lastRenderedPageBreak/>
        <w:t>塔式起重机独立起升高度、附着间距和最高附着以上的最大悬高及垂直度不符合规范要求；</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施工升降机附着间距和最高附着以上的最大悬高及垂直度不符合规范要求；</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起重机械安装、拆卸、顶升加节以及附着前未对结构件、顶升机构和附着装置以及高强度螺栓、销轴、定位板等连接件及安全装置进行检查；</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建筑起重机械的安全装置不齐全、失效或者被违规拆除、破坏；</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施工升降机防坠安全器超过定期检验有效期，标准节连接螺栓缺失或失效；</w:t>
      </w:r>
    </w:p>
    <w:p w:rsidR="001C66B0" w:rsidRDefault="00D005FC">
      <w:pPr>
        <w:pStyle w:val="a6"/>
        <w:numPr>
          <w:ilvl w:val="0"/>
          <w:numId w:val="69"/>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建筑起重机械的地基基础承载力和变形不满足设计要求。</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高处作业有下列情形之一的：</w:t>
      </w:r>
    </w:p>
    <w:p w:rsidR="001C66B0" w:rsidRDefault="00D005FC">
      <w:pPr>
        <w:pStyle w:val="a6"/>
        <w:numPr>
          <w:ilvl w:val="0"/>
          <w:numId w:val="70"/>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钢结构、网架安装用支撑结构地基基础承载力和变形不满足设计要求，钢结构、网架安装用支撑结构未按设计要求设置防倾覆装置；</w:t>
      </w:r>
    </w:p>
    <w:p w:rsidR="001C66B0" w:rsidRDefault="00D005FC">
      <w:pPr>
        <w:pStyle w:val="a6"/>
        <w:numPr>
          <w:ilvl w:val="0"/>
          <w:numId w:val="70"/>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单榀钢桁架（屋架）安装时未采取防失稳措施；</w:t>
      </w:r>
    </w:p>
    <w:p w:rsidR="001C66B0" w:rsidRDefault="00D005FC">
      <w:pPr>
        <w:pStyle w:val="a6"/>
        <w:numPr>
          <w:ilvl w:val="0"/>
          <w:numId w:val="70"/>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悬挑式操作平台的搁置点、拉结点、支撑点未设置在稳定的主体结构上,且未做可靠连接。</w:t>
      </w:r>
    </w:p>
    <w:p w:rsidR="001C66B0" w:rsidRDefault="00D005FC">
      <w:pPr>
        <w:pStyle w:val="a6"/>
        <w:numPr>
          <w:ilvl w:val="0"/>
          <w:numId w:val="63"/>
        </w:numPr>
        <w:spacing w:line="360" w:lineRule="auto"/>
        <w:ind w:left="284" w:rightChars="-31" w:right="-65" w:hanging="278"/>
        <w:rPr>
          <w:rFonts w:asciiTheme="minorEastAsia" w:hAnsiTheme="minorEastAsia" w:cstheme="minorEastAsia"/>
          <w:bCs/>
        </w:rPr>
      </w:pPr>
      <w:r>
        <w:rPr>
          <w:rFonts w:asciiTheme="minorEastAsia" w:hAnsiTheme="minorEastAsia" w:cstheme="minorEastAsia" w:hint="eastAsia"/>
          <w:bCs/>
        </w:rPr>
        <w:t>施工临时用电方面，特殊作业环境（隧道、人防工程，高温、有导电灰尘、比较潮湿等作业环境）照明未按规定使用安全电压的。</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有限空间作业有下列情形之一的：</w:t>
      </w:r>
    </w:p>
    <w:p w:rsidR="001C66B0" w:rsidRDefault="00D005FC">
      <w:pPr>
        <w:pStyle w:val="a6"/>
        <w:numPr>
          <w:ilvl w:val="0"/>
          <w:numId w:val="71"/>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有限空间作业未履行“作业审批制度”，未对施工人员进行专项安全教育培训,未执行“先通风、再检测、后作业”原则；</w:t>
      </w:r>
    </w:p>
    <w:p w:rsidR="001C66B0" w:rsidRDefault="00D005FC">
      <w:pPr>
        <w:pStyle w:val="a6"/>
        <w:numPr>
          <w:ilvl w:val="0"/>
          <w:numId w:val="71"/>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有限空间作业时现场未有专人负责监护工作。</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拆除工程方面，拆除施工作业顺序不符合规范和施工方案要求的。</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暗挖工程有下列情形之一的：</w:t>
      </w:r>
    </w:p>
    <w:p w:rsidR="001C66B0" w:rsidRDefault="00D005FC">
      <w:pPr>
        <w:pStyle w:val="a6"/>
        <w:numPr>
          <w:ilvl w:val="0"/>
          <w:numId w:val="72"/>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作业面带水施工未采取相关措施，或地下水控制措施失效且继续施工；</w:t>
      </w:r>
    </w:p>
    <w:p w:rsidR="001C66B0" w:rsidRDefault="00D005FC">
      <w:pPr>
        <w:pStyle w:val="a6"/>
        <w:numPr>
          <w:ilvl w:val="0"/>
          <w:numId w:val="72"/>
        </w:numPr>
        <w:tabs>
          <w:tab w:val="left" w:pos="142"/>
        </w:tabs>
        <w:spacing w:line="360" w:lineRule="auto"/>
        <w:ind w:left="851" w:rightChars="36" w:right="76" w:hanging="283"/>
        <w:jc w:val="left"/>
        <w:rPr>
          <w:rFonts w:asciiTheme="minorEastAsia" w:hAnsiTheme="minorEastAsia" w:cstheme="minorEastAsia"/>
          <w:bCs/>
        </w:rPr>
      </w:pPr>
      <w:r>
        <w:rPr>
          <w:rFonts w:asciiTheme="minorEastAsia" w:hAnsiTheme="minorEastAsia" w:cstheme="minorEastAsia" w:hint="eastAsia"/>
          <w:bCs/>
        </w:rPr>
        <w:t>施工时出现涌水、涌沙、局部坍塌，支护结构扭曲变形或出现裂缝，且有不断增大趋势，未及时采取措施。</w:t>
      </w:r>
    </w:p>
    <w:p w:rsidR="001C66B0" w:rsidRDefault="00D005FC">
      <w:pPr>
        <w:pStyle w:val="a6"/>
        <w:numPr>
          <w:ilvl w:val="0"/>
          <w:numId w:val="63"/>
        </w:numPr>
        <w:spacing w:line="360" w:lineRule="auto"/>
        <w:ind w:left="426" w:rightChars="-31" w:right="-65"/>
        <w:rPr>
          <w:rFonts w:asciiTheme="minorEastAsia" w:hAnsiTheme="minorEastAsia" w:cstheme="minorEastAsia"/>
          <w:bCs/>
        </w:rPr>
      </w:pPr>
      <w:r>
        <w:rPr>
          <w:rFonts w:asciiTheme="minorEastAsia" w:hAnsiTheme="minorEastAsia" w:cstheme="minorEastAsia" w:hint="eastAsia"/>
          <w:bCs/>
        </w:rPr>
        <w:t>使用危害程度较大、可能导致群死群伤或造成重大经济损失的施工工艺、设备和材料的。</w:t>
      </w:r>
    </w:p>
    <w:p w:rsidR="001C66B0" w:rsidRDefault="001C66B0">
      <w:pPr>
        <w:ind w:firstLine="480"/>
        <w:jc w:val="left"/>
        <w:rPr>
          <w:rFonts w:ascii="宋体" w:eastAsia="宋体" w:hAnsi="宋体"/>
          <w:b/>
          <w:bCs/>
          <w:sz w:val="24"/>
          <w:szCs w:val="24"/>
        </w:rPr>
      </w:pPr>
    </w:p>
    <w:p w:rsidR="001C66B0" w:rsidRDefault="00D005FC">
      <w:pPr>
        <w:ind w:firstLine="480"/>
        <w:jc w:val="left"/>
        <w:rPr>
          <w:rFonts w:ascii="宋体" w:eastAsia="宋体" w:hAnsi="宋体"/>
          <w:b/>
          <w:bCs/>
          <w:sz w:val="24"/>
          <w:szCs w:val="24"/>
        </w:rPr>
      </w:pPr>
      <w:r>
        <w:rPr>
          <w:rFonts w:ascii="宋体" w:eastAsia="宋体" w:hAnsi="宋体"/>
          <w:b/>
          <w:bCs/>
          <w:sz w:val="24"/>
          <w:szCs w:val="24"/>
        </w:rPr>
        <w:br w:type="page"/>
      </w: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75" w:name="_Toc176713679"/>
      <w:r>
        <w:rPr>
          <w:rFonts w:asciiTheme="minorEastAsia" w:hAnsiTheme="minorEastAsia" w:cstheme="minorEastAsia" w:hint="eastAsia"/>
          <w:b/>
          <w:bCs/>
        </w:rPr>
        <w:lastRenderedPageBreak/>
        <w:t>附录</w:t>
      </w:r>
      <w:bookmarkStart w:id="76" w:name="_Hlk105295147"/>
      <w:r>
        <w:rPr>
          <w:rFonts w:asciiTheme="minorEastAsia" w:hAnsiTheme="minorEastAsia" w:cstheme="minorEastAsia" w:hint="eastAsia"/>
          <w:b/>
          <w:bCs/>
        </w:rPr>
        <w:t>D R</w:t>
      </w:r>
      <w:bookmarkStart w:id="77" w:name="_Hlk105295173"/>
      <w:r>
        <w:rPr>
          <w:rFonts w:asciiTheme="minorEastAsia" w:hAnsiTheme="minorEastAsia" w:cstheme="minorEastAsia" w:hint="eastAsia"/>
          <w:b/>
          <w:bCs/>
        </w:rPr>
        <w:t>0 勘察设计质量风险评估报告</w:t>
      </w:r>
      <w:bookmarkEnd w:id="76"/>
      <w:bookmarkEnd w:id="77"/>
      <w:r>
        <w:rPr>
          <w:rFonts w:asciiTheme="minorEastAsia" w:hAnsiTheme="minorEastAsia" w:cstheme="minorEastAsia" w:hint="eastAsia"/>
          <w:b/>
          <w:bCs/>
        </w:rPr>
        <w:t>参考模板</w:t>
      </w:r>
      <w:bookmarkEnd w:id="75"/>
    </w:p>
    <w:p w:rsidR="001C66B0" w:rsidRDefault="00D005FC">
      <w:pPr>
        <w:rPr>
          <w:rFonts w:asciiTheme="majorEastAsia" w:eastAsiaTheme="majorEastAsia" w:hAnsiTheme="majorEastAsia"/>
          <w:bCs/>
        </w:rPr>
      </w:pPr>
      <w:r>
        <w:rPr>
          <w:rFonts w:asciiTheme="majorEastAsia" w:eastAsiaTheme="majorEastAsia" w:hAnsiTheme="majorEastAsia" w:hint="eastAsia"/>
          <w:bCs/>
        </w:rPr>
        <w:t>R0勘察设计质量风险评估报告参考模板见表D。</w:t>
      </w:r>
    </w:p>
    <w:p w:rsidR="001C66B0" w:rsidRDefault="001C66B0">
      <w:pPr>
        <w:rPr>
          <w:bCs/>
        </w:rPr>
      </w:pPr>
    </w:p>
    <w:p w:rsidR="001C66B0" w:rsidRDefault="00D005FC">
      <w:pPr>
        <w:spacing w:line="360" w:lineRule="auto"/>
        <w:jc w:val="center"/>
        <w:rPr>
          <w:rFonts w:asciiTheme="minorEastAsia" w:hAnsiTheme="minorEastAsia"/>
          <w:b/>
        </w:rPr>
      </w:pPr>
      <w:r>
        <w:rPr>
          <w:rFonts w:asciiTheme="minorEastAsia" w:hAnsiTheme="minorEastAsia" w:hint="eastAsia"/>
          <w:b/>
        </w:rPr>
        <w:t>表D</w:t>
      </w:r>
      <w:r>
        <w:rPr>
          <w:rFonts w:asciiTheme="minorEastAsia" w:hAnsiTheme="minorEastAsia"/>
          <w:b/>
        </w:rPr>
        <w:t xml:space="preserve"> R</w:t>
      </w:r>
      <w:r>
        <w:rPr>
          <w:rFonts w:asciiTheme="minorEastAsia" w:hAnsiTheme="minorEastAsia" w:hint="eastAsia"/>
          <w:b/>
        </w:rPr>
        <w:t>0勘察设计质量风险评估报告</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212"/>
        <w:gridCol w:w="430"/>
        <w:gridCol w:w="1681"/>
        <w:gridCol w:w="586"/>
        <w:gridCol w:w="1249"/>
        <w:gridCol w:w="454"/>
        <w:gridCol w:w="1066"/>
        <w:gridCol w:w="1765"/>
      </w:tblGrid>
      <w:tr w:rsidR="001C66B0">
        <w:trPr>
          <w:trHeight w:val="489"/>
          <w:jc w:val="center"/>
        </w:trPr>
        <w:tc>
          <w:tcPr>
            <w:tcW w:w="8443" w:type="dxa"/>
            <w:gridSpan w:val="8"/>
          </w:tcPr>
          <w:p w:rsidR="001C66B0" w:rsidRDefault="00D005FC">
            <w:pPr>
              <w:spacing w:before="111"/>
              <w:ind w:left="107"/>
              <w:jc w:val="left"/>
              <w:rPr>
                <w:rFonts w:asciiTheme="majorEastAsia" w:eastAsiaTheme="majorEastAsia" w:hAnsiTheme="majorEastAsia" w:cs="宋体"/>
                <w:b/>
                <w:kern w:val="0"/>
                <w:szCs w:val="21"/>
              </w:rPr>
            </w:pPr>
            <w:r>
              <w:rPr>
                <w:rFonts w:asciiTheme="majorEastAsia" w:eastAsiaTheme="majorEastAsia" w:hAnsiTheme="majorEastAsia" w:cs="宋体"/>
                <w:b/>
                <w:kern w:val="0"/>
                <w:szCs w:val="21"/>
              </w:rPr>
              <w:t>项目基本信息</w:t>
            </w:r>
          </w:p>
        </w:tc>
      </w:tr>
      <w:tr w:rsidR="001C66B0">
        <w:trPr>
          <w:trHeight w:val="453"/>
          <w:jc w:val="center"/>
        </w:trPr>
        <w:tc>
          <w:tcPr>
            <w:tcW w:w="1212" w:type="dxa"/>
          </w:tcPr>
          <w:p w:rsidR="001C66B0" w:rsidRDefault="00D005FC">
            <w:pPr>
              <w:spacing w:before="94"/>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项目名称</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1212" w:type="dxa"/>
          </w:tcPr>
          <w:p w:rsidR="001C66B0" w:rsidRDefault="00D005FC">
            <w:pPr>
              <w:spacing w:before="94"/>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项目地点</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455"/>
          <w:jc w:val="center"/>
        </w:trPr>
        <w:tc>
          <w:tcPr>
            <w:tcW w:w="1212" w:type="dxa"/>
          </w:tcPr>
          <w:p w:rsidR="001C66B0" w:rsidRDefault="00D005FC">
            <w:pPr>
              <w:spacing w:before="94"/>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建设单位</w:t>
            </w:r>
          </w:p>
        </w:tc>
        <w:tc>
          <w:tcPr>
            <w:tcW w:w="2697" w:type="dxa"/>
            <w:gridSpan w:val="3"/>
          </w:tcPr>
          <w:p w:rsidR="001C66B0" w:rsidRDefault="001C66B0">
            <w:pPr>
              <w:jc w:val="left"/>
              <w:rPr>
                <w:rFonts w:asciiTheme="majorEastAsia" w:eastAsiaTheme="majorEastAsia" w:hAnsiTheme="majorEastAsia" w:cs="宋体"/>
                <w:kern w:val="0"/>
                <w:szCs w:val="21"/>
              </w:rPr>
            </w:pPr>
          </w:p>
        </w:tc>
        <w:tc>
          <w:tcPr>
            <w:tcW w:w="1703" w:type="dxa"/>
            <w:gridSpan w:val="2"/>
          </w:tcPr>
          <w:p w:rsidR="001C66B0" w:rsidRDefault="00D005FC">
            <w:pPr>
              <w:spacing w:before="94"/>
              <w:ind w:left="113"/>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施工总承包单位</w:t>
            </w:r>
          </w:p>
        </w:tc>
        <w:tc>
          <w:tcPr>
            <w:tcW w:w="2831" w:type="dxa"/>
            <w:gridSpan w:val="2"/>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1212" w:type="dxa"/>
          </w:tcPr>
          <w:p w:rsidR="001C66B0" w:rsidRDefault="00D005FC">
            <w:pPr>
              <w:spacing w:before="94"/>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勘察单位</w:t>
            </w:r>
          </w:p>
        </w:tc>
        <w:tc>
          <w:tcPr>
            <w:tcW w:w="2697" w:type="dxa"/>
            <w:gridSpan w:val="3"/>
          </w:tcPr>
          <w:p w:rsidR="001C66B0" w:rsidRDefault="001C66B0">
            <w:pPr>
              <w:jc w:val="left"/>
              <w:rPr>
                <w:rFonts w:asciiTheme="majorEastAsia" w:eastAsiaTheme="majorEastAsia" w:hAnsiTheme="majorEastAsia" w:cs="宋体"/>
                <w:kern w:val="0"/>
                <w:szCs w:val="21"/>
              </w:rPr>
            </w:pPr>
          </w:p>
        </w:tc>
        <w:tc>
          <w:tcPr>
            <w:tcW w:w="1703" w:type="dxa"/>
            <w:gridSpan w:val="2"/>
          </w:tcPr>
          <w:p w:rsidR="001C66B0" w:rsidRDefault="00D005FC">
            <w:pPr>
              <w:spacing w:before="94"/>
              <w:ind w:left="428"/>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监理单位</w:t>
            </w:r>
          </w:p>
        </w:tc>
        <w:tc>
          <w:tcPr>
            <w:tcW w:w="2831" w:type="dxa"/>
            <w:gridSpan w:val="2"/>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1212" w:type="dxa"/>
          </w:tcPr>
          <w:p w:rsidR="001C66B0" w:rsidRDefault="00D005FC">
            <w:pPr>
              <w:spacing w:before="95"/>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设计单位</w:t>
            </w:r>
          </w:p>
        </w:tc>
        <w:tc>
          <w:tcPr>
            <w:tcW w:w="2697" w:type="dxa"/>
            <w:gridSpan w:val="3"/>
          </w:tcPr>
          <w:p w:rsidR="001C66B0" w:rsidRDefault="001C66B0">
            <w:pPr>
              <w:jc w:val="left"/>
              <w:rPr>
                <w:rFonts w:asciiTheme="majorEastAsia" w:eastAsiaTheme="majorEastAsia" w:hAnsiTheme="majorEastAsia" w:cs="宋体"/>
                <w:kern w:val="0"/>
                <w:szCs w:val="21"/>
              </w:rPr>
            </w:pPr>
          </w:p>
        </w:tc>
        <w:tc>
          <w:tcPr>
            <w:tcW w:w="1703" w:type="dxa"/>
            <w:gridSpan w:val="2"/>
          </w:tcPr>
          <w:p w:rsidR="001C66B0" w:rsidRDefault="00D005FC">
            <w:pPr>
              <w:spacing w:before="95"/>
              <w:ind w:left="428"/>
              <w:jc w:val="left"/>
              <w:rPr>
                <w:rFonts w:asciiTheme="majorEastAsia" w:eastAsiaTheme="majorEastAsia" w:hAnsiTheme="majorEastAsia" w:cs="宋体"/>
                <w:kern w:val="0"/>
                <w:szCs w:val="21"/>
              </w:rPr>
            </w:pPr>
            <w:r>
              <w:rPr>
                <w:rFonts w:asciiTheme="majorEastAsia" w:eastAsiaTheme="majorEastAsia" w:hAnsiTheme="majorEastAsia" w:cs="宋体"/>
                <w:kern w:val="0"/>
                <w:szCs w:val="21"/>
              </w:rPr>
              <w:t>保险公司</w:t>
            </w:r>
          </w:p>
        </w:tc>
        <w:tc>
          <w:tcPr>
            <w:tcW w:w="2831" w:type="dxa"/>
            <w:gridSpan w:val="2"/>
          </w:tcPr>
          <w:p w:rsidR="001C66B0" w:rsidRDefault="001C66B0">
            <w:pPr>
              <w:jc w:val="left"/>
              <w:rPr>
                <w:rFonts w:asciiTheme="majorEastAsia" w:eastAsiaTheme="majorEastAsia" w:hAnsiTheme="majorEastAsia" w:cs="宋体"/>
                <w:kern w:val="0"/>
                <w:szCs w:val="21"/>
              </w:rPr>
            </w:pPr>
          </w:p>
        </w:tc>
      </w:tr>
      <w:tr w:rsidR="001C66B0">
        <w:trPr>
          <w:trHeight w:val="1305"/>
          <w:jc w:val="center"/>
        </w:trPr>
        <w:tc>
          <w:tcPr>
            <w:tcW w:w="1212" w:type="dxa"/>
          </w:tcPr>
          <w:p w:rsidR="001C66B0" w:rsidRDefault="001C66B0">
            <w:pPr>
              <w:jc w:val="left"/>
              <w:rPr>
                <w:rFonts w:asciiTheme="majorEastAsia" w:eastAsiaTheme="majorEastAsia" w:hAnsiTheme="majorEastAsia" w:cs="宋体"/>
                <w:b/>
                <w:kern w:val="0"/>
                <w:szCs w:val="21"/>
              </w:rPr>
            </w:pPr>
          </w:p>
          <w:p w:rsidR="001C66B0" w:rsidRDefault="001C66B0">
            <w:pPr>
              <w:spacing w:before="6"/>
              <w:jc w:val="left"/>
              <w:rPr>
                <w:rFonts w:asciiTheme="majorEastAsia" w:eastAsiaTheme="majorEastAsia" w:hAnsiTheme="majorEastAsia" w:cs="宋体"/>
                <w:b/>
                <w:kern w:val="0"/>
                <w:szCs w:val="21"/>
              </w:rPr>
            </w:pPr>
          </w:p>
          <w:p w:rsidR="001C66B0" w:rsidRDefault="00D005FC">
            <w:pPr>
              <w:spacing w:before="1"/>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工程概况</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978"/>
          <w:jc w:val="center"/>
        </w:trPr>
        <w:tc>
          <w:tcPr>
            <w:tcW w:w="1212" w:type="dxa"/>
          </w:tcPr>
          <w:p w:rsidR="001C66B0" w:rsidRDefault="001C66B0">
            <w:pPr>
              <w:spacing w:before="10"/>
              <w:jc w:val="left"/>
              <w:rPr>
                <w:rFonts w:asciiTheme="majorEastAsia" w:eastAsiaTheme="majorEastAsia" w:hAnsiTheme="majorEastAsia" w:cs="宋体"/>
                <w:b/>
                <w:kern w:val="0"/>
                <w:szCs w:val="21"/>
              </w:rPr>
            </w:pPr>
          </w:p>
          <w:p w:rsidR="001C66B0" w:rsidRDefault="00D005FC">
            <w:pPr>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形象进度</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1956"/>
          <w:jc w:val="center"/>
        </w:trPr>
        <w:tc>
          <w:tcPr>
            <w:tcW w:w="1212" w:type="dxa"/>
          </w:tcPr>
          <w:p w:rsidR="001C66B0" w:rsidRDefault="001C66B0">
            <w:pPr>
              <w:jc w:val="left"/>
              <w:rPr>
                <w:rFonts w:asciiTheme="majorEastAsia" w:eastAsiaTheme="majorEastAsia" w:hAnsiTheme="majorEastAsia" w:cs="宋体"/>
                <w:b/>
                <w:kern w:val="0"/>
                <w:szCs w:val="21"/>
              </w:rPr>
            </w:pPr>
          </w:p>
          <w:p w:rsidR="001C66B0" w:rsidRDefault="001C66B0">
            <w:pPr>
              <w:jc w:val="left"/>
              <w:rPr>
                <w:rFonts w:asciiTheme="majorEastAsia" w:eastAsiaTheme="majorEastAsia" w:hAnsiTheme="majorEastAsia" w:cs="宋体"/>
                <w:b/>
                <w:kern w:val="0"/>
                <w:szCs w:val="21"/>
              </w:rPr>
            </w:pPr>
          </w:p>
          <w:p w:rsidR="001C66B0" w:rsidRDefault="001C66B0">
            <w:pPr>
              <w:spacing w:before="10"/>
              <w:jc w:val="left"/>
              <w:rPr>
                <w:rFonts w:asciiTheme="majorEastAsia" w:eastAsiaTheme="majorEastAsia" w:hAnsiTheme="majorEastAsia" w:cs="宋体"/>
                <w:b/>
                <w:kern w:val="0"/>
                <w:szCs w:val="21"/>
              </w:rPr>
            </w:pPr>
          </w:p>
          <w:p w:rsidR="001C66B0" w:rsidRDefault="00D005FC">
            <w:pPr>
              <w:spacing w:before="1"/>
              <w:ind w:left="165" w:right="154"/>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平面图</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508"/>
          <w:jc w:val="center"/>
        </w:trPr>
        <w:tc>
          <w:tcPr>
            <w:tcW w:w="1212" w:type="dxa"/>
          </w:tcPr>
          <w:p w:rsidR="001C66B0" w:rsidRDefault="00D005FC">
            <w:pPr>
              <w:spacing w:before="121"/>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工程阶段</w:t>
            </w:r>
          </w:p>
        </w:tc>
        <w:tc>
          <w:tcPr>
            <w:tcW w:w="7231" w:type="dxa"/>
            <w:gridSpan w:val="7"/>
          </w:tcPr>
          <w:p w:rsidR="001C66B0" w:rsidRDefault="00D005FC">
            <w:pPr>
              <w:spacing w:before="121"/>
              <w:ind w:right="1102"/>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w:t>
            </w:r>
            <w:r>
              <w:rPr>
                <w:rFonts w:asciiTheme="majorEastAsia" w:eastAsiaTheme="majorEastAsia" w:hAnsiTheme="majorEastAsia" w:cs="宋体"/>
                <w:spacing w:val="34"/>
                <w:kern w:val="0"/>
                <w:szCs w:val="21"/>
              </w:rPr>
              <w:t xml:space="preserve">准备 </w:t>
            </w:r>
            <w:r>
              <w:rPr>
                <w:rFonts w:asciiTheme="majorEastAsia" w:eastAsiaTheme="majorEastAsia" w:hAnsiTheme="majorEastAsia" w:cs="宋体"/>
                <w:kern w:val="0"/>
                <w:szCs w:val="21"/>
              </w:rPr>
              <w:t>□桩基 □</w:t>
            </w:r>
            <w:r>
              <w:rPr>
                <w:rFonts w:asciiTheme="majorEastAsia" w:eastAsiaTheme="majorEastAsia" w:hAnsiTheme="majorEastAsia" w:cs="宋体"/>
                <w:spacing w:val="34"/>
                <w:kern w:val="0"/>
                <w:szCs w:val="21"/>
              </w:rPr>
              <w:t xml:space="preserve">基础 </w:t>
            </w:r>
            <w:r>
              <w:rPr>
                <w:rFonts w:asciiTheme="majorEastAsia" w:eastAsiaTheme="majorEastAsia" w:hAnsiTheme="majorEastAsia" w:cs="宋体"/>
                <w:kern w:val="0"/>
                <w:szCs w:val="21"/>
              </w:rPr>
              <w:t>□</w:t>
            </w:r>
            <w:r>
              <w:rPr>
                <w:rFonts w:asciiTheme="majorEastAsia" w:eastAsiaTheme="majorEastAsia" w:hAnsiTheme="majorEastAsia" w:cs="宋体"/>
                <w:spacing w:val="34"/>
                <w:kern w:val="0"/>
                <w:szCs w:val="21"/>
              </w:rPr>
              <w:t xml:space="preserve">主体 </w:t>
            </w:r>
            <w:r>
              <w:rPr>
                <w:rFonts w:asciiTheme="majorEastAsia" w:eastAsiaTheme="majorEastAsia" w:hAnsiTheme="majorEastAsia" w:cs="宋体"/>
                <w:kern w:val="0"/>
                <w:szCs w:val="21"/>
              </w:rPr>
              <w:t>□</w:t>
            </w:r>
            <w:r>
              <w:rPr>
                <w:rFonts w:asciiTheme="majorEastAsia" w:eastAsiaTheme="majorEastAsia" w:hAnsiTheme="majorEastAsia" w:cs="宋体"/>
                <w:spacing w:val="35"/>
                <w:kern w:val="0"/>
                <w:szCs w:val="21"/>
              </w:rPr>
              <w:t xml:space="preserve">机电 </w:t>
            </w:r>
            <w:r>
              <w:rPr>
                <w:rFonts w:asciiTheme="majorEastAsia" w:eastAsiaTheme="majorEastAsia" w:hAnsiTheme="majorEastAsia" w:cs="宋体"/>
                <w:kern w:val="0"/>
                <w:szCs w:val="21"/>
              </w:rPr>
              <w:t>□</w:t>
            </w:r>
            <w:r>
              <w:rPr>
                <w:rFonts w:asciiTheme="majorEastAsia" w:eastAsiaTheme="majorEastAsia" w:hAnsiTheme="majorEastAsia" w:cs="宋体"/>
                <w:spacing w:val="34"/>
                <w:kern w:val="0"/>
                <w:szCs w:val="21"/>
              </w:rPr>
              <w:t xml:space="preserve">装饰 </w:t>
            </w:r>
            <w:r>
              <w:rPr>
                <w:rFonts w:asciiTheme="majorEastAsia" w:eastAsiaTheme="majorEastAsia" w:hAnsiTheme="majorEastAsia" w:cs="宋体"/>
                <w:kern w:val="0"/>
                <w:szCs w:val="21"/>
              </w:rPr>
              <w:t>□竣工</w:t>
            </w:r>
          </w:p>
        </w:tc>
      </w:tr>
      <w:tr w:rsidR="001C66B0">
        <w:trPr>
          <w:trHeight w:val="510"/>
          <w:jc w:val="center"/>
        </w:trPr>
        <w:tc>
          <w:tcPr>
            <w:tcW w:w="1212" w:type="dxa"/>
          </w:tcPr>
          <w:p w:rsidR="001C66B0" w:rsidRDefault="00D005FC">
            <w:pPr>
              <w:spacing w:before="123"/>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检查方式</w:t>
            </w:r>
          </w:p>
        </w:tc>
        <w:tc>
          <w:tcPr>
            <w:tcW w:w="7231" w:type="dxa"/>
            <w:gridSpan w:val="7"/>
          </w:tcPr>
          <w:p w:rsidR="001C66B0" w:rsidRDefault="00D005FC">
            <w:pPr>
              <w:spacing w:before="123"/>
              <w:ind w:right="1102"/>
              <w:rPr>
                <w:rFonts w:asciiTheme="majorEastAsia" w:eastAsiaTheme="majorEastAsia" w:hAnsiTheme="majorEastAsia" w:cs="宋体"/>
                <w:kern w:val="0"/>
                <w:szCs w:val="21"/>
              </w:rPr>
            </w:pPr>
            <w:r>
              <w:rPr>
                <w:rFonts w:asciiTheme="majorEastAsia" w:eastAsiaTheme="majorEastAsia" w:hAnsiTheme="majorEastAsia" w:cs="宋体"/>
                <w:kern w:val="0"/>
                <w:szCs w:val="21"/>
              </w:rPr>
              <w:t>□</w:t>
            </w:r>
            <w:r>
              <w:rPr>
                <w:rFonts w:asciiTheme="majorEastAsia" w:eastAsiaTheme="majorEastAsia" w:hAnsiTheme="majorEastAsia" w:cs="宋体"/>
                <w:spacing w:val="34"/>
                <w:kern w:val="0"/>
                <w:szCs w:val="21"/>
              </w:rPr>
              <w:t xml:space="preserve">复查 </w:t>
            </w:r>
            <w:r>
              <w:rPr>
                <w:rFonts w:asciiTheme="majorEastAsia" w:eastAsiaTheme="majorEastAsia" w:hAnsiTheme="majorEastAsia" w:cs="宋体"/>
                <w:kern w:val="0"/>
                <w:szCs w:val="21"/>
              </w:rPr>
              <w:t>□目测 □资料审查 □</w:t>
            </w:r>
            <w:r>
              <w:rPr>
                <w:rFonts w:asciiTheme="majorEastAsia" w:eastAsiaTheme="majorEastAsia" w:hAnsiTheme="majorEastAsia" w:cs="宋体"/>
                <w:spacing w:val="20"/>
                <w:kern w:val="0"/>
                <w:szCs w:val="21"/>
              </w:rPr>
              <w:t xml:space="preserve">实测实量 </w:t>
            </w:r>
            <w:r>
              <w:rPr>
                <w:rFonts w:asciiTheme="majorEastAsia" w:eastAsiaTheme="majorEastAsia" w:hAnsiTheme="majorEastAsia" w:cs="宋体"/>
                <w:kern w:val="0"/>
                <w:szCs w:val="21"/>
              </w:rPr>
              <w:t>□功能性试验</w:t>
            </w:r>
          </w:p>
        </w:tc>
      </w:tr>
      <w:tr w:rsidR="001C66B0">
        <w:trPr>
          <w:trHeight w:val="565"/>
          <w:jc w:val="center"/>
        </w:trPr>
        <w:tc>
          <w:tcPr>
            <w:tcW w:w="1212" w:type="dxa"/>
          </w:tcPr>
          <w:p w:rsidR="001C66B0" w:rsidRDefault="00D005FC">
            <w:pPr>
              <w:spacing w:before="149"/>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参考资料</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568"/>
          <w:jc w:val="center"/>
        </w:trPr>
        <w:tc>
          <w:tcPr>
            <w:tcW w:w="1212" w:type="dxa"/>
          </w:tcPr>
          <w:p w:rsidR="001C66B0" w:rsidRDefault="00D005FC">
            <w:pPr>
              <w:spacing w:before="152"/>
              <w:ind w:left="165" w:right="156"/>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检查日期</w:t>
            </w:r>
          </w:p>
        </w:tc>
        <w:tc>
          <w:tcPr>
            <w:tcW w:w="7231" w:type="dxa"/>
            <w:gridSpan w:val="7"/>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8443" w:type="dxa"/>
            <w:gridSpan w:val="8"/>
          </w:tcPr>
          <w:p w:rsidR="001C66B0" w:rsidRDefault="00D005FC">
            <w:pPr>
              <w:spacing w:before="95"/>
              <w:ind w:left="3780" w:right="3772"/>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检查人员</w:t>
            </w:r>
          </w:p>
        </w:tc>
      </w:tr>
      <w:tr w:rsidR="001C66B0">
        <w:trPr>
          <w:trHeight w:val="455"/>
          <w:jc w:val="center"/>
        </w:trPr>
        <w:tc>
          <w:tcPr>
            <w:tcW w:w="1642" w:type="dxa"/>
            <w:gridSpan w:val="2"/>
          </w:tcPr>
          <w:p w:rsidR="001C66B0" w:rsidRDefault="00D005FC">
            <w:pPr>
              <w:spacing w:before="94"/>
              <w:ind w:left="590" w:right="581"/>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姓名</w:t>
            </w:r>
          </w:p>
        </w:tc>
        <w:tc>
          <w:tcPr>
            <w:tcW w:w="1681" w:type="dxa"/>
          </w:tcPr>
          <w:p w:rsidR="001C66B0" w:rsidRDefault="00D005FC">
            <w:pPr>
              <w:spacing w:before="94"/>
              <w:ind w:left="609" w:right="601"/>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职称</w:t>
            </w:r>
          </w:p>
        </w:tc>
        <w:tc>
          <w:tcPr>
            <w:tcW w:w="1835" w:type="dxa"/>
            <w:gridSpan w:val="2"/>
          </w:tcPr>
          <w:p w:rsidR="001C66B0" w:rsidRDefault="00D005FC">
            <w:pPr>
              <w:spacing w:before="94"/>
              <w:ind w:left="685" w:right="679"/>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学历</w:t>
            </w:r>
          </w:p>
        </w:tc>
        <w:tc>
          <w:tcPr>
            <w:tcW w:w="1520" w:type="dxa"/>
            <w:gridSpan w:val="2"/>
          </w:tcPr>
          <w:p w:rsidR="001C66B0" w:rsidRDefault="00D005FC">
            <w:pPr>
              <w:spacing w:before="94"/>
              <w:ind w:left="528" w:right="521"/>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职位</w:t>
            </w:r>
          </w:p>
        </w:tc>
        <w:tc>
          <w:tcPr>
            <w:tcW w:w="1765" w:type="dxa"/>
          </w:tcPr>
          <w:p w:rsidR="001C66B0" w:rsidRDefault="00D005FC">
            <w:pPr>
              <w:spacing w:before="94"/>
              <w:ind w:left="650" w:right="644"/>
              <w:jc w:val="center"/>
              <w:rPr>
                <w:rFonts w:asciiTheme="majorEastAsia" w:eastAsiaTheme="majorEastAsia" w:hAnsiTheme="majorEastAsia" w:cs="宋体"/>
                <w:kern w:val="0"/>
                <w:szCs w:val="21"/>
              </w:rPr>
            </w:pPr>
            <w:r>
              <w:rPr>
                <w:rFonts w:asciiTheme="majorEastAsia" w:eastAsiaTheme="majorEastAsia" w:hAnsiTheme="majorEastAsia" w:cs="宋体"/>
                <w:kern w:val="0"/>
                <w:szCs w:val="21"/>
              </w:rPr>
              <w:t>专业</w:t>
            </w:r>
          </w:p>
        </w:tc>
      </w:tr>
      <w:tr w:rsidR="001C66B0">
        <w:trPr>
          <w:trHeight w:val="453"/>
          <w:jc w:val="center"/>
        </w:trPr>
        <w:tc>
          <w:tcPr>
            <w:tcW w:w="1642" w:type="dxa"/>
            <w:gridSpan w:val="2"/>
          </w:tcPr>
          <w:p w:rsidR="001C66B0" w:rsidRDefault="001C66B0">
            <w:pPr>
              <w:jc w:val="left"/>
              <w:rPr>
                <w:rFonts w:asciiTheme="majorEastAsia" w:eastAsiaTheme="majorEastAsia" w:hAnsiTheme="majorEastAsia" w:cs="宋体"/>
                <w:kern w:val="0"/>
                <w:szCs w:val="21"/>
              </w:rPr>
            </w:pPr>
          </w:p>
        </w:tc>
        <w:tc>
          <w:tcPr>
            <w:tcW w:w="1681" w:type="dxa"/>
          </w:tcPr>
          <w:p w:rsidR="001C66B0" w:rsidRDefault="001C66B0">
            <w:pPr>
              <w:jc w:val="left"/>
              <w:rPr>
                <w:rFonts w:asciiTheme="majorEastAsia" w:eastAsiaTheme="majorEastAsia" w:hAnsiTheme="majorEastAsia" w:cs="宋体"/>
                <w:kern w:val="0"/>
                <w:szCs w:val="21"/>
              </w:rPr>
            </w:pPr>
          </w:p>
        </w:tc>
        <w:tc>
          <w:tcPr>
            <w:tcW w:w="1835" w:type="dxa"/>
            <w:gridSpan w:val="2"/>
          </w:tcPr>
          <w:p w:rsidR="001C66B0" w:rsidRDefault="001C66B0">
            <w:pPr>
              <w:jc w:val="left"/>
              <w:rPr>
                <w:rFonts w:asciiTheme="majorEastAsia" w:eastAsiaTheme="majorEastAsia" w:hAnsiTheme="majorEastAsia" w:cs="宋体"/>
                <w:kern w:val="0"/>
                <w:szCs w:val="21"/>
              </w:rPr>
            </w:pPr>
          </w:p>
        </w:tc>
        <w:tc>
          <w:tcPr>
            <w:tcW w:w="1520" w:type="dxa"/>
            <w:gridSpan w:val="2"/>
          </w:tcPr>
          <w:p w:rsidR="001C66B0" w:rsidRDefault="001C66B0">
            <w:pPr>
              <w:jc w:val="left"/>
              <w:rPr>
                <w:rFonts w:asciiTheme="majorEastAsia" w:eastAsiaTheme="majorEastAsia" w:hAnsiTheme="majorEastAsia" w:cs="宋体"/>
                <w:kern w:val="0"/>
                <w:szCs w:val="21"/>
              </w:rPr>
            </w:pPr>
          </w:p>
        </w:tc>
        <w:tc>
          <w:tcPr>
            <w:tcW w:w="1765" w:type="dxa"/>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1642" w:type="dxa"/>
            <w:gridSpan w:val="2"/>
          </w:tcPr>
          <w:p w:rsidR="001C66B0" w:rsidRDefault="001C66B0">
            <w:pPr>
              <w:jc w:val="left"/>
              <w:rPr>
                <w:rFonts w:asciiTheme="majorEastAsia" w:eastAsiaTheme="majorEastAsia" w:hAnsiTheme="majorEastAsia" w:cs="宋体"/>
                <w:kern w:val="0"/>
                <w:szCs w:val="21"/>
              </w:rPr>
            </w:pPr>
          </w:p>
        </w:tc>
        <w:tc>
          <w:tcPr>
            <w:tcW w:w="1681" w:type="dxa"/>
          </w:tcPr>
          <w:p w:rsidR="001C66B0" w:rsidRDefault="001C66B0">
            <w:pPr>
              <w:jc w:val="left"/>
              <w:rPr>
                <w:rFonts w:asciiTheme="majorEastAsia" w:eastAsiaTheme="majorEastAsia" w:hAnsiTheme="majorEastAsia" w:cs="宋体"/>
                <w:kern w:val="0"/>
                <w:szCs w:val="21"/>
              </w:rPr>
            </w:pPr>
          </w:p>
        </w:tc>
        <w:tc>
          <w:tcPr>
            <w:tcW w:w="1835" w:type="dxa"/>
            <w:gridSpan w:val="2"/>
          </w:tcPr>
          <w:p w:rsidR="001C66B0" w:rsidRDefault="001C66B0">
            <w:pPr>
              <w:jc w:val="left"/>
              <w:rPr>
                <w:rFonts w:asciiTheme="majorEastAsia" w:eastAsiaTheme="majorEastAsia" w:hAnsiTheme="majorEastAsia" w:cs="宋体"/>
                <w:kern w:val="0"/>
                <w:szCs w:val="21"/>
              </w:rPr>
            </w:pPr>
          </w:p>
        </w:tc>
        <w:tc>
          <w:tcPr>
            <w:tcW w:w="1520" w:type="dxa"/>
            <w:gridSpan w:val="2"/>
          </w:tcPr>
          <w:p w:rsidR="001C66B0" w:rsidRDefault="001C66B0">
            <w:pPr>
              <w:jc w:val="left"/>
              <w:rPr>
                <w:rFonts w:asciiTheme="majorEastAsia" w:eastAsiaTheme="majorEastAsia" w:hAnsiTheme="majorEastAsia" w:cs="宋体"/>
                <w:kern w:val="0"/>
                <w:szCs w:val="21"/>
              </w:rPr>
            </w:pPr>
          </w:p>
        </w:tc>
        <w:tc>
          <w:tcPr>
            <w:tcW w:w="1765" w:type="dxa"/>
          </w:tcPr>
          <w:p w:rsidR="001C66B0" w:rsidRDefault="001C66B0">
            <w:pPr>
              <w:jc w:val="left"/>
              <w:rPr>
                <w:rFonts w:asciiTheme="majorEastAsia" w:eastAsiaTheme="majorEastAsia" w:hAnsiTheme="majorEastAsia" w:cs="宋体"/>
                <w:kern w:val="0"/>
                <w:szCs w:val="21"/>
              </w:rPr>
            </w:pPr>
          </w:p>
        </w:tc>
      </w:tr>
      <w:tr w:rsidR="001C66B0">
        <w:trPr>
          <w:trHeight w:val="455"/>
          <w:jc w:val="center"/>
        </w:trPr>
        <w:tc>
          <w:tcPr>
            <w:tcW w:w="1642" w:type="dxa"/>
            <w:gridSpan w:val="2"/>
          </w:tcPr>
          <w:p w:rsidR="001C66B0" w:rsidRDefault="001C66B0">
            <w:pPr>
              <w:jc w:val="left"/>
              <w:rPr>
                <w:rFonts w:asciiTheme="majorEastAsia" w:eastAsiaTheme="majorEastAsia" w:hAnsiTheme="majorEastAsia" w:cs="宋体"/>
                <w:kern w:val="0"/>
                <w:szCs w:val="21"/>
              </w:rPr>
            </w:pPr>
          </w:p>
        </w:tc>
        <w:tc>
          <w:tcPr>
            <w:tcW w:w="1681" w:type="dxa"/>
          </w:tcPr>
          <w:p w:rsidR="001C66B0" w:rsidRDefault="001C66B0">
            <w:pPr>
              <w:jc w:val="left"/>
              <w:rPr>
                <w:rFonts w:asciiTheme="majorEastAsia" w:eastAsiaTheme="majorEastAsia" w:hAnsiTheme="majorEastAsia" w:cs="宋体"/>
                <w:kern w:val="0"/>
                <w:szCs w:val="21"/>
              </w:rPr>
            </w:pPr>
          </w:p>
        </w:tc>
        <w:tc>
          <w:tcPr>
            <w:tcW w:w="1835" w:type="dxa"/>
            <w:gridSpan w:val="2"/>
          </w:tcPr>
          <w:p w:rsidR="001C66B0" w:rsidRDefault="001C66B0">
            <w:pPr>
              <w:jc w:val="left"/>
              <w:rPr>
                <w:rFonts w:asciiTheme="majorEastAsia" w:eastAsiaTheme="majorEastAsia" w:hAnsiTheme="majorEastAsia" w:cs="宋体"/>
                <w:kern w:val="0"/>
                <w:szCs w:val="21"/>
              </w:rPr>
            </w:pPr>
          </w:p>
        </w:tc>
        <w:tc>
          <w:tcPr>
            <w:tcW w:w="1520" w:type="dxa"/>
            <w:gridSpan w:val="2"/>
          </w:tcPr>
          <w:p w:rsidR="001C66B0" w:rsidRDefault="001C66B0">
            <w:pPr>
              <w:jc w:val="left"/>
              <w:rPr>
                <w:rFonts w:asciiTheme="majorEastAsia" w:eastAsiaTheme="majorEastAsia" w:hAnsiTheme="majorEastAsia" w:cs="宋体"/>
                <w:kern w:val="0"/>
                <w:szCs w:val="21"/>
              </w:rPr>
            </w:pPr>
          </w:p>
        </w:tc>
        <w:tc>
          <w:tcPr>
            <w:tcW w:w="1765" w:type="dxa"/>
          </w:tcPr>
          <w:p w:rsidR="001C66B0" w:rsidRDefault="001C66B0">
            <w:pPr>
              <w:jc w:val="left"/>
              <w:rPr>
                <w:rFonts w:asciiTheme="majorEastAsia" w:eastAsiaTheme="majorEastAsia" w:hAnsiTheme="majorEastAsia" w:cs="宋体"/>
                <w:kern w:val="0"/>
                <w:szCs w:val="21"/>
              </w:rPr>
            </w:pPr>
          </w:p>
        </w:tc>
      </w:tr>
      <w:tr w:rsidR="001C66B0">
        <w:trPr>
          <w:trHeight w:val="453"/>
          <w:jc w:val="center"/>
        </w:trPr>
        <w:tc>
          <w:tcPr>
            <w:tcW w:w="1642" w:type="dxa"/>
            <w:gridSpan w:val="2"/>
          </w:tcPr>
          <w:p w:rsidR="001C66B0" w:rsidRDefault="001C66B0">
            <w:pPr>
              <w:jc w:val="left"/>
              <w:rPr>
                <w:rFonts w:asciiTheme="majorEastAsia" w:eastAsiaTheme="majorEastAsia" w:hAnsiTheme="majorEastAsia" w:cs="宋体"/>
                <w:kern w:val="0"/>
                <w:szCs w:val="21"/>
              </w:rPr>
            </w:pPr>
          </w:p>
        </w:tc>
        <w:tc>
          <w:tcPr>
            <w:tcW w:w="1681" w:type="dxa"/>
          </w:tcPr>
          <w:p w:rsidR="001C66B0" w:rsidRDefault="001C66B0">
            <w:pPr>
              <w:jc w:val="left"/>
              <w:rPr>
                <w:rFonts w:asciiTheme="majorEastAsia" w:eastAsiaTheme="majorEastAsia" w:hAnsiTheme="majorEastAsia" w:cs="宋体"/>
                <w:kern w:val="0"/>
                <w:szCs w:val="21"/>
              </w:rPr>
            </w:pPr>
          </w:p>
        </w:tc>
        <w:tc>
          <w:tcPr>
            <w:tcW w:w="1835" w:type="dxa"/>
            <w:gridSpan w:val="2"/>
          </w:tcPr>
          <w:p w:rsidR="001C66B0" w:rsidRDefault="001C66B0">
            <w:pPr>
              <w:jc w:val="left"/>
              <w:rPr>
                <w:rFonts w:asciiTheme="majorEastAsia" w:eastAsiaTheme="majorEastAsia" w:hAnsiTheme="majorEastAsia" w:cs="宋体"/>
                <w:kern w:val="0"/>
                <w:szCs w:val="21"/>
              </w:rPr>
            </w:pPr>
          </w:p>
        </w:tc>
        <w:tc>
          <w:tcPr>
            <w:tcW w:w="1520" w:type="dxa"/>
            <w:gridSpan w:val="2"/>
          </w:tcPr>
          <w:p w:rsidR="001C66B0" w:rsidRDefault="001C66B0">
            <w:pPr>
              <w:jc w:val="left"/>
              <w:rPr>
                <w:rFonts w:asciiTheme="majorEastAsia" w:eastAsiaTheme="majorEastAsia" w:hAnsiTheme="majorEastAsia" w:cs="宋体"/>
                <w:kern w:val="0"/>
                <w:szCs w:val="21"/>
              </w:rPr>
            </w:pPr>
          </w:p>
        </w:tc>
        <w:tc>
          <w:tcPr>
            <w:tcW w:w="1765" w:type="dxa"/>
          </w:tcPr>
          <w:p w:rsidR="001C66B0" w:rsidRDefault="001C66B0">
            <w:pPr>
              <w:jc w:val="left"/>
              <w:rPr>
                <w:rFonts w:asciiTheme="majorEastAsia" w:eastAsiaTheme="majorEastAsia" w:hAnsiTheme="majorEastAsia" w:cs="宋体"/>
                <w:kern w:val="0"/>
                <w:szCs w:val="21"/>
              </w:rPr>
            </w:pPr>
          </w:p>
        </w:tc>
      </w:tr>
    </w:tbl>
    <w:p w:rsidR="001C66B0" w:rsidRDefault="001C66B0">
      <w:pPr>
        <w:autoSpaceDE w:val="0"/>
        <w:autoSpaceDN w:val="0"/>
        <w:jc w:val="left"/>
        <w:rPr>
          <w:rFonts w:ascii="Times New Roman" w:eastAsia="宋体" w:hAnsi="宋体" w:cs="宋体"/>
          <w:kern w:val="0"/>
          <w:sz w:val="20"/>
        </w:rPr>
        <w:sectPr w:rsidR="001C66B0">
          <w:pgSz w:w="11910" w:h="16840"/>
          <w:pgMar w:top="1440" w:right="1588" w:bottom="1440" w:left="1588" w:header="992" w:footer="1321" w:gutter="0"/>
          <w:cols w:space="720"/>
          <w:docGrid w:linePitch="286"/>
        </w:sectPr>
      </w:pPr>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表D</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275"/>
        <w:gridCol w:w="4191"/>
      </w:tblGrid>
      <w:tr w:rsidR="001C66B0">
        <w:trPr>
          <w:trHeight w:val="489"/>
          <w:jc w:val="center"/>
        </w:trPr>
        <w:tc>
          <w:tcPr>
            <w:tcW w:w="8466" w:type="dxa"/>
            <w:gridSpan w:val="2"/>
          </w:tcPr>
          <w:p w:rsidR="001C66B0" w:rsidRDefault="00D005FC">
            <w:pPr>
              <w:spacing w:before="111"/>
              <w:ind w:left="107"/>
              <w:jc w:val="left"/>
              <w:rPr>
                <w:rFonts w:ascii="宋体" w:eastAsia="宋体" w:hAnsi="宋体" w:cs="宋体"/>
                <w:b/>
                <w:kern w:val="0"/>
              </w:rPr>
            </w:pPr>
            <w:r>
              <w:rPr>
                <w:rFonts w:ascii="宋体" w:eastAsia="宋体" w:hAnsi="宋体" w:cs="宋体"/>
                <w:b/>
                <w:spacing w:val="-1"/>
                <w:kern w:val="0"/>
              </w:rPr>
              <w:t>本次检查涉及保险范围</w:t>
            </w:r>
          </w:p>
        </w:tc>
      </w:tr>
      <w:tr w:rsidR="001C66B0">
        <w:trPr>
          <w:trHeight w:val="6357"/>
          <w:jc w:val="center"/>
        </w:trPr>
        <w:tc>
          <w:tcPr>
            <w:tcW w:w="4275" w:type="dxa"/>
          </w:tcPr>
          <w:p w:rsidR="001C66B0" w:rsidRDefault="00D005FC">
            <w:pPr>
              <w:spacing w:before="111"/>
              <w:ind w:left="107"/>
              <w:jc w:val="left"/>
              <w:rPr>
                <w:rFonts w:ascii="宋体" w:eastAsia="宋体" w:hAnsi="宋体" w:cs="宋体"/>
                <w:b/>
                <w:kern w:val="0"/>
              </w:rPr>
            </w:pPr>
            <w:r>
              <w:rPr>
                <w:rFonts w:ascii="宋体" w:eastAsia="宋体" w:hAnsi="宋体" w:cs="宋体"/>
                <w:b/>
                <w:kern w:val="0"/>
              </w:rPr>
              <w:t>基本险：</w:t>
            </w:r>
          </w:p>
          <w:p w:rsidR="001C66B0" w:rsidRDefault="001C66B0">
            <w:pPr>
              <w:spacing w:before="3"/>
              <w:jc w:val="left"/>
              <w:rPr>
                <w:rFonts w:ascii="宋体" w:eastAsia="宋体" w:hAnsi="宋体" w:cs="宋体"/>
                <w:b/>
                <w:kern w:val="0"/>
                <w:sz w:val="17"/>
              </w:rPr>
            </w:pPr>
          </w:p>
          <w:p w:rsidR="001C66B0" w:rsidRDefault="001C66B0">
            <w:pPr>
              <w:spacing w:before="2"/>
              <w:ind w:left="107"/>
              <w:jc w:val="left"/>
              <w:rPr>
                <w:rFonts w:ascii="宋体" w:eastAsia="宋体" w:hAnsi="宋体" w:cs="宋体"/>
                <w:kern w:val="0"/>
              </w:rPr>
            </w:pPr>
          </w:p>
        </w:tc>
        <w:tc>
          <w:tcPr>
            <w:tcW w:w="4191" w:type="dxa"/>
          </w:tcPr>
          <w:p w:rsidR="001C66B0" w:rsidRDefault="00D005FC">
            <w:pPr>
              <w:spacing w:before="111"/>
              <w:ind w:left="107"/>
              <w:jc w:val="left"/>
              <w:rPr>
                <w:rFonts w:ascii="宋体" w:eastAsia="宋体" w:hAnsi="宋体" w:cs="宋体"/>
                <w:b/>
                <w:kern w:val="0"/>
              </w:rPr>
            </w:pPr>
            <w:r>
              <w:rPr>
                <w:rFonts w:ascii="宋体" w:eastAsia="宋体" w:hAnsi="宋体" w:cs="宋体"/>
                <w:b/>
                <w:kern w:val="0"/>
              </w:rPr>
              <w:t>附加险：</w:t>
            </w:r>
          </w:p>
          <w:p w:rsidR="001C66B0" w:rsidRDefault="001C66B0">
            <w:pPr>
              <w:spacing w:before="3"/>
              <w:jc w:val="left"/>
              <w:rPr>
                <w:rFonts w:ascii="宋体" w:eastAsia="宋体" w:hAnsi="宋体" w:cs="宋体"/>
                <w:b/>
                <w:kern w:val="0"/>
                <w:sz w:val="17"/>
              </w:rPr>
            </w:pPr>
          </w:p>
          <w:p w:rsidR="001C66B0" w:rsidRDefault="001C66B0">
            <w:pPr>
              <w:spacing w:before="1"/>
              <w:ind w:left="107"/>
              <w:jc w:val="left"/>
              <w:rPr>
                <w:rFonts w:ascii="宋体" w:eastAsia="宋体" w:hAnsi="宋体" w:cs="宋体"/>
                <w:kern w:val="0"/>
              </w:rPr>
            </w:pPr>
          </w:p>
        </w:tc>
      </w:tr>
      <w:tr w:rsidR="001C66B0">
        <w:trPr>
          <w:trHeight w:val="489"/>
          <w:jc w:val="center"/>
        </w:trPr>
        <w:tc>
          <w:tcPr>
            <w:tcW w:w="8466" w:type="dxa"/>
            <w:gridSpan w:val="2"/>
          </w:tcPr>
          <w:p w:rsidR="001C66B0" w:rsidRDefault="00D005FC">
            <w:pPr>
              <w:spacing w:before="111"/>
              <w:ind w:left="107"/>
              <w:jc w:val="left"/>
              <w:rPr>
                <w:rFonts w:ascii="宋体" w:eastAsia="宋体" w:hAnsi="宋体" w:cs="宋体"/>
                <w:b/>
                <w:kern w:val="0"/>
              </w:rPr>
            </w:pPr>
            <w:r>
              <w:rPr>
                <w:rFonts w:ascii="宋体" w:eastAsia="宋体" w:hAnsi="宋体" w:cs="宋体"/>
                <w:b/>
                <w:kern w:val="0"/>
              </w:rPr>
              <w:t>项目建筑类型及技术特点</w:t>
            </w:r>
          </w:p>
        </w:tc>
      </w:tr>
      <w:tr w:rsidR="001C66B0">
        <w:trPr>
          <w:trHeight w:val="5621"/>
          <w:jc w:val="center"/>
        </w:trPr>
        <w:tc>
          <w:tcPr>
            <w:tcW w:w="8466" w:type="dxa"/>
            <w:gridSpan w:val="2"/>
          </w:tcPr>
          <w:p w:rsidR="001C66B0" w:rsidRDefault="00D005FC">
            <w:pPr>
              <w:spacing w:before="111" w:line="436" w:lineRule="auto"/>
              <w:ind w:left="107" w:right="93" w:firstLine="419"/>
              <w:jc w:val="left"/>
              <w:rPr>
                <w:rFonts w:ascii="宋体" w:eastAsia="宋体" w:hAnsi="宋体" w:cs="宋体"/>
                <w:kern w:val="0"/>
                <w:szCs w:val="21"/>
              </w:rPr>
            </w:pPr>
            <w:r>
              <w:rPr>
                <w:rFonts w:ascii="宋体" w:eastAsia="宋体" w:hAnsi="宋体" w:cs="宋体"/>
                <w:spacing w:val="-13"/>
                <w:kern w:val="0"/>
                <w:szCs w:val="21"/>
              </w:rPr>
              <w:t>包括项目结构类型、设计标准、荷载信息、使用的材料、防水和保温工程做法，以及是</w:t>
            </w:r>
            <w:r>
              <w:rPr>
                <w:rFonts w:ascii="宋体" w:eastAsia="宋体" w:hAnsi="宋体" w:cs="宋体"/>
                <w:kern w:val="0"/>
                <w:szCs w:val="21"/>
              </w:rPr>
              <w:t>否采用新技术、新材料、新工艺等。</w:t>
            </w:r>
          </w:p>
        </w:tc>
      </w:tr>
    </w:tbl>
    <w:p w:rsidR="001C66B0" w:rsidRDefault="001C66B0">
      <w:pPr>
        <w:autoSpaceDE w:val="0"/>
        <w:autoSpaceDN w:val="0"/>
        <w:spacing w:line="436" w:lineRule="auto"/>
        <w:jc w:val="left"/>
        <w:rPr>
          <w:rFonts w:ascii="宋体" w:eastAsia="宋体" w:hAnsi="宋体" w:cs="宋体"/>
          <w:kern w:val="0"/>
        </w:rPr>
        <w:sectPr w:rsidR="001C66B0">
          <w:pgSz w:w="11910" w:h="16840"/>
          <w:pgMar w:top="1400" w:right="1220" w:bottom="1520" w:left="1400" w:header="995" w:footer="1323" w:gutter="0"/>
          <w:cols w:space="720"/>
        </w:sectPr>
      </w:pPr>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表D</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466"/>
      </w:tblGrid>
      <w:tr w:rsidR="001C66B0">
        <w:trPr>
          <w:trHeight w:val="489"/>
          <w:jc w:val="center"/>
        </w:trPr>
        <w:tc>
          <w:tcPr>
            <w:tcW w:w="8466" w:type="dxa"/>
          </w:tcPr>
          <w:p w:rsidR="001C66B0" w:rsidRDefault="00D005FC">
            <w:pPr>
              <w:spacing w:before="104"/>
              <w:ind w:left="107"/>
              <w:jc w:val="left"/>
              <w:rPr>
                <w:rFonts w:ascii="宋体" w:eastAsia="宋体" w:hAnsi="宋体" w:cs="宋体"/>
                <w:b/>
                <w:kern w:val="0"/>
              </w:rPr>
            </w:pPr>
            <w:r>
              <w:rPr>
                <w:rFonts w:ascii="宋体" w:eastAsia="宋体" w:hAnsi="宋体" w:cs="宋体"/>
                <w:b/>
                <w:w w:val="95"/>
                <w:kern w:val="0"/>
              </w:rPr>
              <w:t>出具本报告时已经收到的重要技术文件</w:t>
            </w:r>
          </w:p>
        </w:tc>
      </w:tr>
      <w:tr w:rsidR="001C66B0">
        <w:trPr>
          <w:trHeight w:val="5877"/>
          <w:jc w:val="center"/>
        </w:trPr>
        <w:tc>
          <w:tcPr>
            <w:tcW w:w="8466" w:type="dxa"/>
          </w:tcPr>
          <w:p w:rsidR="001C66B0" w:rsidRDefault="001C66B0">
            <w:pPr>
              <w:jc w:val="left"/>
              <w:rPr>
                <w:rFonts w:ascii="Times New Roman" w:eastAsia="宋体" w:hAnsi="宋体" w:cs="宋体"/>
                <w:kern w:val="0"/>
                <w:sz w:val="20"/>
              </w:rPr>
            </w:pPr>
          </w:p>
        </w:tc>
      </w:tr>
      <w:tr w:rsidR="001C66B0">
        <w:trPr>
          <w:trHeight w:val="489"/>
          <w:jc w:val="center"/>
        </w:trPr>
        <w:tc>
          <w:tcPr>
            <w:tcW w:w="8466" w:type="dxa"/>
          </w:tcPr>
          <w:p w:rsidR="001C66B0" w:rsidRDefault="00D005FC">
            <w:pPr>
              <w:spacing w:before="103"/>
              <w:ind w:left="107"/>
              <w:jc w:val="left"/>
              <w:rPr>
                <w:rFonts w:ascii="宋体" w:eastAsia="宋体" w:hAnsi="宋体" w:cs="宋体"/>
                <w:b/>
                <w:kern w:val="0"/>
              </w:rPr>
            </w:pPr>
            <w:r>
              <w:rPr>
                <w:rFonts w:ascii="宋体" w:eastAsia="宋体" w:hAnsi="宋体" w:cs="宋体"/>
                <w:b/>
                <w:w w:val="95"/>
                <w:kern w:val="0"/>
              </w:rPr>
              <w:t>需补充的文件</w:t>
            </w:r>
          </w:p>
        </w:tc>
      </w:tr>
      <w:tr w:rsidR="001C66B0">
        <w:trPr>
          <w:trHeight w:val="5868"/>
          <w:jc w:val="center"/>
        </w:trPr>
        <w:tc>
          <w:tcPr>
            <w:tcW w:w="8466" w:type="dxa"/>
          </w:tcPr>
          <w:p w:rsidR="001C66B0" w:rsidRDefault="001C66B0">
            <w:pPr>
              <w:jc w:val="left"/>
              <w:rPr>
                <w:rFonts w:ascii="Times New Roman" w:eastAsia="宋体" w:hAnsi="宋体" w:cs="宋体"/>
                <w:kern w:val="0"/>
                <w:sz w:val="20"/>
              </w:rPr>
            </w:pPr>
          </w:p>
        </w:tc>
      </w:tr>
    </w:tbl>
    <w:p w:rsidR="001C66B0" w:rsidRDefault="001C66B0">
      <w:pPr>
        <w:autoSpaceDE w:val="0"/>
        <w:autoSpaceDN w:val="0"/>
        <w:jc w:val="left"/>
        <w:rPr>
          <w:rFonts w:ascii="Times New Roman" w:eastAsia="宋体" w:hAnsi="宋体" w:cs="宋体"/>
          <w:kern w:val="0"/>
          <w:sz w:val="20"/>
        </w:rPr>
        <w:sectPr w:rsidR="001C66B0">
          <w:pgSz w:w="11910" w:h="16840"/>
          <w:pgMar w:top="1400" w:right="1220" w:bottom="1520" w:left="1400" w:header="995" w:footer="1323" w:gutter="0"/>
          <w:cols w:space="720"/>
        </w:sectPr>
      </w:pPr>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表D</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411"/>
      </w:tblGrid>
      <w:tr w:rsidR="001C66B0">
        <w:trPr>
          <w:trHeight w:val="489"/>
          <w:jc w:val="center"/>
        </w:trPr>
        <w:tc>
          <w:tcPr>
            <w:tcW w:w="8411" w:type="dxa"/>
          </w:tcPr>
          <w:p w:rsidR="001C66B0" w:rsidRDefault="00D005FC">
            <w:pPr>
              <w:spacing w:before="111"/>
              <w:ind w:left="107"/>
              <w:jc w:val="left"/>
              <w:rPr>
                <w:rFonts w:ascii="宋体" w:eastAsia="宋体" w:hAnsi="宋体" w:cs="宋体"/>
                <w:b/>
                <w:kern w:val="0"/>
              </w:rPr>
            </w:pPr>
            <w:r>
              <w:rPr>
                <w:rFonts w:ascii="宋体" w:eastAsia="宋体" w:hAnsi="宋体" w:cs="宋体"/>
                <w:b/>
                <w:kern w:val="0"/>
              </w:rPr>
              <w:t>风险初步识别分析</w:t>
            </w:r>
          </w:p>
        </w:tc>
      </w:tr>
      <w:tr w:rsidR="001C66B0">
        <w:trPr>
          <w:trHeight w:val="489"/>
          <w:jc w:val="center"/>
        </w:trPr>
        <w:tc>
          <w:tcPr>
            <w:tcW w:w="8411" w:type="dxa"/>
          </w:tcPr>
          <w:p w:rsidR="001C66B0" w:rsidRDefault="00D005FC">
            <w:pPr>
              <w:spacing w:before="111"/>
              <w:ind w:left="107"/>
              <w:jc w:val="left"/>
              <w:rPr>
                <w:rFonts w:ascii="宋体" w:eastAsia="宋体" w:hAnsi="宋体" w:cs="宋体"/>
                <w:b/>
                <w:kern w:val="0"/>
              </w:rPr>
            </w:pPr>
            <w:r>
              <w:rPr>
                <w:rFonts w:ascii="宋体" w:eastAsia="宋体" w:hAnsi="宋体" w:cs="宋体"/>
                <w:b/>
                <w:kern w:val="0"/>
              </w:rPr>
              <w:t>相关各方资质风险分析</w:t>
            </w:r>
          </w:p>
        </w:tc>
      </w:tr>
      <w:tr w:rsidR="001C66B0">
        <w:trPr>
          <w:trHeight w:val="3422"/>
          <w:jc w:val="center"/>
        </w:trPr>
        <w:tc>
          <w:tcPr>
            <w:tcW w:w="8411" w:type="dxa"/>
          </w:tcPr>
          <w:p w:rsidR="001C66B0" w:rsidRDefault="001C66B0">
            <w:pPr>
              <w:jc w:val="left"/>
              <w:rPr>
                <w:rFonts w:ascii="Times New Roman" w:eastAsia="宋体" w:hAnsi="宋体" w:cs="宋体"/>
                <w:kern w:val="0"/>
                <w:sz w:val="20"/>
              </w:rPr>
            </w:pPr>
          </w:p>
        </w:tc>
      </w:tr>
      <w:tr w:rsidR="001C66B0">
        <w:trPr>
          <w:trHeight w:val="489"/>
          <w:jc w:val="center"/>
        </w:trPr>
        <w:tc>
          <w:tcPr>
            <w:tcW w:w="8411" w:type="dxa"/>
          </w:tcPr>
          <w:p w:rsidR="001C66B0" w:rsidRDefault="00D005FC">
            <w:pPr>
              <w:spacing w:before="111"/>
              <w:ind w:left="107"/>
              <w:jc w:val="left"/>
              <w:rPr>
                <w:rFonts w:ascii="宋体" w:eastAsia="宋体" w:hAnsi="宋体" w:cs="宋体"/>
                <w:b/>
                <w:kern w:val="0"/>
              </w:rPr>
            </w:pPr>
            <w:r>
              <w:rPr>
                <w:rFonts w:ascii="宋体" w:eastAsia="宋体" w:hAnsi="宋体" w:cs="宋体"/>
                <w:b/>
                <w:kern w:val="0"/>
              </w:rPr>
              <w:t>设计及施工方案风险分析</w:t>
            </w:r>
          </w:p>
        </w:tc>
      </w:tr>
      <w:tr w:rsidR="001C66B0">
        <w:trPr>
          <w:trHeight w:val="3585"/>
          <w:jc w:val="center"/>
        </w:trPr>
        <w:tc>
          <w:tcPr>
            <w:tcW w:w="8411" w:type="dxa"/>
          </w:tcPr>
          <w:p w:rsidR="001C66B0" w:rsidRDefault="001C66B0">
            <w:pPr>
              <w:jc w:val="left"/>
              <w:rPr>
                <w:rFonts w:ascii="Times New Roman" w:eastAsia="宋体" w:hAnsi="宋体" w:cs="宋体"/>
                <w:kern w:val="0"/>
                <w:sz w:val="20"/>
              </w:rPr>
            </w:pPr>
          </w:p>
        </w:tc>
      </w:tr>
      <w:tr w:rsidR="001C66B0">
        <w:trPr>
          <w:trHeight w:val="489"/>
          <w:jc w:val="center"/>
        </w:trPr>
        <w:tc>
          <w:tcPr>
            <w:tcW w:w="8411" w:type="dxa"/>
          </w:tcPr>
          <w:p w:rsidR="001C66B0" w:rsidRDefault="00D005FC">
            <w:pPr>
              <w:spacing w:before="113"/>
              <w:ind w:left="107"/>
              <w:jc w:val="left"/>
              <w:rPr>
                <w:rFonts w:ascii="宋体" w:eastAsia="宋体" w:hAnsi="宋体" w:cs="宋体"/>
                <w:b/>
                <w:kern w:val="0"/>
              </w:rPr>
            </w:pPr>
            <w:r>
              <w:rPr>
                <w:rFonts w:ascii="宋体" w:eastAsia="宋体" w:hAnsi="宋体" w:cs="宋体"/>
                <w:b/>
                <w:spacing w:val="-1"/>
                <w:kern w:val="0"/>
              </w:rPr>
              <w:t>岩土工程勘察报告风险分析</w:t>
            </w:r>
          </w:p>
        </w:tc>
      </w:tr>
      <w:tr w:rsidR="001C66B0">
        <w:trPr>
          <w:trHeight w:val="4401"/>
          <w:jc w:val="center"/>
        </w:trPr>
        <w:tc>
          <w:tcPr>
            <w:tcW w:w="8411" w:type="dxa"/>
          </w:tcPr>
          <w:p w:rsidR="001C66B0" w:rsidRDefault="001C66B0">
            <w:pPr>
              <w:jc w:val="left"/>
              <w:rPr>
                <w:rFonts w:ascii="Times New Roman" w:eastAsia="宋体" w:hAnsi="宋体" w:cs="宋体"/>
                <w:kern w:val="0"/>
                <w:sz w:val="20"/>
              </w:rPr>
            </w:pPr>
          </w:p>
        </w:tc>
      </w:tr>
    </w:tbl>
    <w:p w:rsidR="001C66B0" w:rsidRDefault="001C66B0">
      <w:pPr>
        <w:autoSpaceDE w:val="0"/>
        <w:autoSpaceDN w:val="0"/>
        <w:jc w:val="left"/>
        <w:rPr>
          <w:rFonts w:ascii="Times New Roman" w:eastAsia="宋体" w:hAnsi="宋体" w:cs="宋体"/>
          <w:kern w:val="0"/>
          <w:sz w:val="20"/>
        </w:rPr>
        <w:sectPr w:rsidR="001C66B0">
          <w:pgSz w:w="11910" w:h="16840"/>
          <w:pgMar w:top="1400" w:right="1220" w:bottom="1520" w:left="1400" w:header="995" w:footer="1323" w:gutter="0"/>
          <w:cols w:space="720"/>
        </w:sectPr>
      </w:pPr>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表D</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81"/>
        <w:gridCol w:w="2410"/>
        <w:gridCol w:w="3004"/>
      </w:tblGrid>
      <w:tr w:rsidR="001C66B0">
        <w:trPr>
          <w:trHeight w:val="489"/>
          <w:jc w:val="center"/>
        </w:trPr>
        <w:tc>
          <w:tcPr>
            <w:tcW w:w="8395" w:type="dxa"/>
            <w:gridSpan w:val="3"/>
          </w:tcPr>
          <w:p w:rsidR="001C66B0" w:rsidRDefault="00D005FC">
            <w:pPr>
              <w:spacing w:before="111"/>
              <w:ind w:left="107"/>
              <w:jc w:val="left"/>
              <w:rPr>
                <w:rFonts w:ascii="宋体" w:eastAsia="宋体" w:hAnsi="宋体" w:cs="宋体"/>
                <w:b/>
                <w:kern w:val="0"/>
              </w:rPr>
            </w:pPr>
            <w:r>
              <w:rPr>
                <w:rFonts w:ascii="宋体" w:eastAsia="宋体" w:hAnsi="宋体" w:cs="宋体"/>
                <w:b/>
                <w:kern w:val="0"/>
              </w:rPr>
              <w:t>现场检查情况汇总</w:t>
            </w:r>
          </w:p>
        </w:tc>
      </w:tr>
      <w:tr w:rsidR="001C66B0">
        <w:trPr>
          <w:trHeight w:val="2934"/>
          <w:jc w:val="center"/>
        </w:trPr>
        <w:tc>
          <w:tcPr>
            <w:tcW w:w="8395" w:type="dxa"/>
            <w:gridSpan w:val="3"/>
          </w:tcPr>
          <w:p w:rsidR="001C66B0" w:rsidRDefault="001C66B0">
            <w:pPr>
              <w:jc w:val="left"/>
              <w:rPr>
                <w:rFonts w:ascii="Times New Roman" w:eastAsia="宋体" w:hAnsi="宋体" w:cs="宋体"/>
                <w:kern w:val="0"/>
                <w:sz w:val="20"/>
              </w:rPr>
            </w:pPr>
          </w:p>
        </w:tc>
      </w:tr>
      <w:tr w:rsidR="001C66B0">
        <w:trPr>
          <w:trHeight w:val="487"/>
          <w:jc w:val="center"/>
        </w:trPr>
        <w:tc>
          <w:tcPr>
            <w:tcW w:w="8395" w:type="dxa"/>
            <w:gridSpan w:val="3"/>
          </w:tcPr>
          <w:p w:rsidR="001C66B0" w:rsidRDefault="00D005FC">
            <w:pPr>
              <w:spacing w:before="111"/>
              <w:ind w:left="107"/>
              <w:jc w:val="left"/>
              <w:rPr>
                <w:rFonts w:ascii="宋体" w:eastAsia="宋体" w:hAnsi="宋体" w:cs="宋体"/>
                <w:b/>
                <w:kern w:val="0"/>
              </w:rPr>
            </w:pPr>
            <w:r>
              <w:rPr>
                <w:rFonts w:ascii="宋体" w:eastAsia="宋体" w:hAnsi="宋体" w:cs="宋体"/>
                <w:b/>
                <w:kern w:val="0"/>
              </w:rPr>
              <w:t>风险问题汇总</w:t>
            </w:r>
          </w:p>
        </w:tc>
      </w:tr>
      <w:tr w:rsidR="001C66B0">
        <w:trPr>
          <w:trHeight w:val="2934"/>
          <w:jc w:val="center"/>
        </w:trPr>
        <w:tc>
          <w:tcPr>
            <w:tcW w:w="8395" w:type="dxa"/>
            <w:gridSpan w:val="3"/>
          </w:tcPr>
          <w:p w:rsidR="001C66B0" w:rsidRDefault="001C66B0">
            <w:pPr>
              <w:jc w:val="left"/>
              <w:rPr>
                <w:rFonts w:ascii="Times New Roman" w:eastAsia="宋体" w:hAnsi="宋体" w:cs="宋体"/>
                <w:kern w:val="0"/>
                <w:sz w:val="20"/>
              </w:rPr>
            </w:pPr>
          </w:p>
        </w:tc>
      </w:tr>
      <w:tr w:rsidR="001C66B0">
        <w:trPr>
          <w:trHeight w:val="489"/>
          <w:jc w:val="center"/>
        </w:trPr>
        <w:tc>
          <w:tcPr>
            <w:tcW w:w="8395" w:type="dxa"/>
            <w:gridSpan w:val="3"/>
          </w:tcPr>
          <w:p w:rsidR="001C66B0" w:rsidRDefault="00D005FC">
            <w:pPr>
              <w:spacing w:before="111"/>
              <w:ind w:left="107"/>
              <w:jc w:val="left"/>
              <w:rPr>
                <w:rFonts w:ascii="宋体" w:eastAsia="宋体" w:hAnsi="宋体" w:cs="宋体"/>
                <w:b/>
                <w:kern w:val="0"/>
              </w:rPr>
            </w:pPr>
            <w:r>
              <w:rPr>
                <w:rFonts w:ascii="宋体" w:eastAsia="宋体" w:hAnsi="宋体" w:cs="宋体"/>
                <w:b/>
                <w:kern w:val="0"/>
              </w:rPr>
              <w:t>技术建议</w:t>
            </w:r>
          </w:p>
        </w:tc>
      </w:tr>
      <w:tr w:rsidR="001C66B0">
        <w:trPr>
          <w:trHeight w:val="2445"/>
          <w:jc w:val="center"/>
        </w:trPr>
        <w:tc>
          <w:tcPr>
            <w:tcW w:w="8395" w:type="dxa"/>
            <w:gridSpan w:val="3"/>
          </w:tcPr>
          <w:p w:rsidR="001C66B0" w:rsidRDefault="001C66B0">
            <w:pPr>
              <w:jc w:val="left"/>
              <w:rPr>
                <w:rFonts w:ascii="Times New Roman" w:eastAsia="宋体" w:hAnsi="宋体" w:cs="宋体"/>
                <w:kern w:val="0"/>
                <w:sz w:val="20"/>
              </w:rPr>
            </w:pPr>
          </w:p>
        </w:tc>
      </w:tr>
      <w:tr w:rsidR="001C66B0">
        <w:trPr>
          <w:trHeight w:val="489"/>
          <w:jc w:val="center"/>
        </w:trPr>
        <w:tc>
          <w:tcPr>
            <w:tcW w:w="2981" w:type="dxa"/>
          </w:tcPr>
          <w:p w:rsidR="001C66B0" w:rsidRDefault="00D005FC">
            <w:pPr>
              <w:spacing w:before="111"/>
              <w:ind w:left="107" w:rightChars="8" w:right="17"/>
              <w:jc w:val="left"/>
              <w:rPr>
                <w:rFonts w:ascii="宋体" w:eastAsia="宋体" w:hAnsi="宋体" w:cs="宋体"/>
                <w:kern w:val="0"/>
              </w:rPr>
            </w:pPr>
            <w:r>
              <w:rPr>
                <w:rFonts w:ascii="宋体" w:eastAsia="宋体" w:hAnsi="宋体" w:cs="宋体"/>
                <w:kern w:val="0"/>
              </w:rPr>
              <w:t>编制人</w:t>
            </w:r>
          </w:p>
        </w:tc>
        <w:tc>
          <w:tcPr>
            <w:tcW w:w="2410" w:type="dxa"/>
          </w:tcPr>
          <w:p w:rsidR="001C66B0" w:rsidRDefault="00D005FC">
            <w:pPr>
              <w:spacing w:before="111"/>
              <w:ind w:left="108" w:rightChars="8" w:right="17"/>
              <w:jc w:val="left"/>
              <w:rPr>
                <w:rFonts w:ascii="宋体" w:eastAsia="宋体" w:hAnsi="宋体" w:cs="宋体"/>
                <w:kern w:val="0"/>
              </w:rPr>
            </w:pPr>
            <w:r>
              <w:rPr>
                <w:rFonts w:ascii="宋体" w:eastAsia="宋体" w:hAnsi="宋体" w:cs="宋体"/>
                <w:kern w:val="0"/>
              </w:rPr>
              <w:t>审核人</w:t>
            </w:r>
          </w:p>
        </w:tc>
        <w:tc>
          <w:tcPr>
            <w:tcW w:w="3004" w:type="dxa"/>
          </w:tcPr>
          <w:p w:rsidR="001C66B0" w:rsidRDefault="00D005FC">
            <w:pPr>
              <w:spacing w:before="111"/>
              <w:ind w:left="110" w:rightChars="8" w:right="17"/>
              <w:jc w:val="left"/>
              <w:rPr>
                <w:rFonts w:ascii="宋体" w:eastAsia="宋体" w:hAnsi="宋体" w:cs="宋体"/>
                <w:kern w:val="0"/>
              </w:rPr>
            </w:pPr>
            <w:r>
              <w:rPr>
                <w:rFonts w:ascii="宋体" w:eastAsia="宋体" w:hAnsi="宋体" w:cs="宋体"/>
                <w:kern w:val="0"/>
              </w:rPr>
              <w:t>批准人</w:t>
            </w:r>
          </w:p>
        </w:tc>
      </w:tr>
      <w:tr w:rsidR="001C66B0">
        <w:trPr>
          <w:trHeight w:val="1466"/>
          <w:jc w:val="center"/>
        </w:trPr>
        <w:tc>
          <w:tcPr>
            <w:tcW w:w="2981" w:type="dxa"/>
          </w:tcPr>
          <w:p w:rsidR="001C66B0" w:rsidRDefault="00D005FC">
            <w:pPr>
              <w:spacing w:before="111" w:line="436" w:lineRule="auto"/>
              <w:ind w:left="107" w:rightChars="8" w:right="17"/>
              <w:jc w:val="left"/>
              <w:rPr>
                <w:rFonts w:ascii="宋体" w:eastAsia="宋体" w:hAnsi="宋体" w:cs="宋体"/>
                <w:kern w:val="0"/>
              </w:rPr>
            </w:pPr>
            <w:r>
              <w:rPr>
                <w:rFonts w:ascii="宋体" w:eastAsia="宋体" w:hAnsi="宋体" w:cs="宋体"/>
                <w:kern w:val="0"/>
              </w:rPr>
              <w:t>姓名：</w:t>
            </w:r>
          </w:p>
          <w:p w:rsidR="001C66B0" w:rsidRDefault="00D005FC">
            <w:pPr>
              <w:spacing w:before="111" w:line="436" w:lineRule="auto"/>
              <w:ind w:left="107" w:rightChars="8" w:right="17"/>
              <w:jc w:val="left"/>
              <w:rPr>
                <w:rFonts w:ascii="宋体" w:eastAsia="宋体" w:hAnsi="宋体" w:cs="宋体"/>
                <w:kern w:val="0"/>
              </w:rPr>
            </w:pPr>
            <w:r>
              <w:rPr>
                <w:rFonts w:ascii="宋体" w:eastAsia="宋体" w:hAnsi="宋体" w:cs="宋体"/>
                <w:kern w:val="0"/>
              </w:rPr>
              <w:t>日期：</w:t>
            </w:r>
          </w:p>
        </w:tc>
        <w:tc>
          <w:tcPr>
            <w:tcW w:w="2410" w:type="dxa"/>
          </w:tcPr>
          <w:p w:rsidR="001C66B0" w:rsidRDefault="00D005FC">
            <w:pPr>
              <w:spacing w:before="111" w:line="436" w:lineRule="auto"/>
              <w:ind w:left="108" w:rightChars="8" w:right="17"/>
              <w:jc w:val="left"/>
              <w:rPr>
                <w:rFonts w:ascii="宋体" w:eastAsia="宋体" w:hAnsi="宋体" w:cs="宋体"/>
                <w:spacing w:val="-1"/>
                <w:kern w:val="0"/>
              </w:rPr>
            </w:pPr>
            <w:r>
              <w:rPr>
                <w:rFonts w:ascii="宋体" w:eastAsia="宋体" w:hAnsi="宋体" w:cs="宋体"/>
                <w:spacing w:val="-1"/>
                <w:kern w:val="0"/>
              </w:rPr>
              <w:t>姓名：</w:t>
            </w:r>
          </w:p>
          <w:p w:rsidR="001C66B0" w:rsidRDefault="00D005FC">
            <w:pPr>
              <w:spacing w:before="111" w:line="436" w:lineRule="auto"/>
              <w:ind w:left="108" w:rightChars="8" w:right="17"/>
              <w:jc w:val="left"/>
              <w:rPr>
                <w:rFonts w:ascii="宋体" w:eastAsia="宋体" w:hAnsi="宋体" w:cs="宋体"/>
                <w:kern w:val="0"/>
              </w:rPr>
            </w:pPr>
            <w:r>
              <w:rPr>
                <w:rFonts w:ascii="宋体" w:eastAsia="宋体" w:hAnsi="宋体" w:cs="宋体"/>
                <w:spacing w:val="-1"/>
                <w:kern w:val="0"/>
              </w:rPr>
              <w:t>日期：</w:t>
            </w:r>
          </w:p>
        </w:tc>
        <w:tc>
          <w:tcPr>
            <w:tcW w:w="3004" w:type="dxa"/>
          </w:tcPr>
          <w:p w:rsidR="001C66B0" w:rsidRDefault="00D005FC">
            <w:pPr>
              <w:spacing w:before="111" w:line="436" w:lineRule="auto"/>
              <w:ind w:left="110" w:rightChars="8" w:right="17"/>
              <w:jc w:val="left"/>
              <w:rPr>
                <w:rFonts w:ascii="宋体" w:eastAsia="宋体" w:hAnsi="宋体" w:cs="宋体"/>
                <w:spacing w:val="-102"/>
                <w:kern w:val="0"/>
              </w:rPr>
            </w:pPr>
            <w:r>
              <w:rPr>
                <w:rFonts w:ascii="宋体" w:eastAsia="宋体" w:hAnsi="宋体" w:cs="宋体"/>
                <w:kern w:val="0"/>
              </w:rPr>
              <w:t>姓名：</w:t>
            </w:r>
          </w:p>
          <w:p w:rsidR="001C66B0" w:rsidRDefault="00D005FC">
            <w:pPr>
              <w:spacing w:before="111" w:line="436" w:lineRule="auto"/>
              <w:ind w:left="110" w:rightChars="8" w:right="17"/>
              <w:jc w:val="left"/>
              <w:rPr>
                <w:rFonts w:ascii="宋体" w:eastAsia="宋体" w:hAnsi="宋体" w:cs="宋体"/>
                <w:kern w:val="0"/>
              </w:rPr>
            </w:pPr>
            <w:r>
              <w:rPr>
                <w:rFonts w:ascii="宋体" w:eastAsia="宋体" w:hAnsi="宋体" w:cs="宋体"/>
                <w:kern w:val="0"/>
              </w:rPr>
              <w:t>日期：</w:t>
            </w:r>
          </w:p>
          <w:p w:rsidR="001C66B0" w:rsidRDefault="00D005FC">
            <w:pPr>
              <w:spacing w:before="1"/>
              <w:ind w:left="110" w:rightChars="8" w:right="17"/>
              <w:jc w:val="left"/>
              <w:rPr>
                <w:rFonts w:ascii="宋体" w:eastAsia="宋体" w:hAnsi="宋体" w:cs="宋体"/>
                <w:kern w:val="0"/>
              </w:rPr>
            </w:pPr>
            <w:r>
              <w:rPr>
                <w:rFonts w:ascii="宋体" w:eastAsia="宋体" w:hAnsi="宋体" w:cs="宋体"/>
                <w:kern w:val="0"/>
              </w:rPr>
              <w:t>公司签章：</w:t>
            </w:r>
          </w:p>
        </w:tc>
      </w:tr>
    </w:tbl>
    <w:p w:rsidR="001C66B0" w:rsidRDefault="001C66B0">
      <w:pPr>
        <w:autoSpaceDE w:val="0"/>
        <w:autoSpaceDN w:val="0"/>
        <w:jc w:val="left"/>
        <w:rPr>
          <w:rFonts w:ascii="宋体" w:eastAsia="宋体" w:hAnsi="宋体" w:cs="宋体"/>
          <w:kern w:val="0"/>
        </w:rPr>
        <w:sectPr w:rsidR="001C66B0">
          <w:pgSz w:w="11910" w:h="16840"/>
          <w:pgMar w:top="1400" w:right="1220" w:bottom="1520" w:left="1400" w:header="995" w:footer="1323" w:gutter="0"/>
          <w:cols w:space="720"/>
        </w:sectPr>
      </w:pP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78" w:name="_Toc176713680"/>
      <w:r>
        <w:rPr>
          <w:rFonts w:asciiTheme="minorEastAsia" w:hAnsiTheme="minorEastAsia" w:cstheme="minorEastAsia" w:hint="eastAsia"/>
          <w:b/>
          <w:bCs/>
        </w:rPr>
        <w:lastRenderedPageBreak/>
        <w:t>附录E R1-xx施工质量过程风险评估报告参考模板</w:t>
      </w:r>
      <w:bookmarkEnd w:id="78"/>
    </w:p>
    <w:p w:rsidR="001C66B0" w:rsidRDefault="00D005FC">
      <w:pPr>
        <w:rPr>
          <w:rFonts w:asciiTheme="minorEastAsia" w:hAnsiTheme="minorEastAsia"/>
          <w:bCs/>
        </w:rPr>
      </w:pPr>
      <w:r>
        <w:rPr>
          <w:rFonts w:asciiTheme="minorEastAsia" w:hAnsiTheme="minorEastAsia" w:hint="eastAsia"/>
          <w:bCs/>
        </w:rPr>
        <w:t>R1-xx施工质量过程风险评估报告参考模板见表E。</w:t>
      </w:r>
    </w:p>
    <w:p w:rsidR="001C66B0" w:rsidRDefault="001C66B0">
      <w:pPr>
        <w:rPr>
          <w:bCs/>
        </w:rPr>
      </w:pPr>
    </w:p>
    <w:p w:rsidR="001C66B0" w:rsidRDefault="00D005FC">
      <w:pPr>
        <w:spacing w:line="360" w:lineRule="auto"/>
        <w:jc w:val="center"/>
        <w:rPr>
          <w:rFonts w:asciiTheme="minorEastAsia" w:hAnsiTheme="minorEastAsia" w:cstheme="minorEastAsia"/>
          <w:b/>
          <w:bCs/>
        </w:rPr>
      </w:pPr>
      <w:r>
        <w:rPr>
          <w:rFonts w:asciiTheme="minorEastAsia" w:hAnsiTheme="minorEastAsia" w:hint="eastAsia"/>
          <w:b/>
        </w:rPr>
        <w:t>表E R1-xx施工质量过程风险评估报告</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606"/>
        <w:gridCol w:w="291"/>
        <w:gridCol w:w="1740"/>
        <w:gridCol w:w="891"/>
        <w:gridCol w:w="926"/>
        <w:gridCol w:w="277"/>
        <w:gridCol w:w="1316"/>
        <w:gridCol w:w="1416"/>
      </w:tblGrid>
      <w:tr w:rsidR="001C66B0">
        <w:trPr>
          <w:trHeight w:val="565"/>
          <w:jc w:val="center"/>
        </w:trPr>
        <w:tc>
          <w:tcPr>
            <w:tcW w:w="8463" w:type="dxa"/>
            <w:gridSpan w:val="8"/>
          </w:tcPr>
          <w:p w:rsidR="001C66B0" w:rsidRDefault="00D005FC">
            <w:pPr>
              <w:spacing w:before="150"/>
              <w:ind w:left="107"/>
              <w:jc w:val="left"/>
              <w:rPr>
                <w:rFonts w:asciiTheme="minorEastAsia" w:hAnsiTheme="minorEastAsia" w:cs="宋体"/>
                <w:b/>
                <w:kern w:val="0"/>
                <w:szCs w:val="21"/>
              </w:rPr>
            </w:pPr>
            <w:r>
              <w:rPr>
                <w:rFonts w:asciiTheme="minorEastAsia" w:hAnsiTheme="minorEastAsia" w:cs="宋体"/>
                <w:b/>
                <w:kern w:val="0"/>
                <w:szCs w:val="21"/>
              </w:rPr>
              <w:t>项目基本信息</w:t>
            </w: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项目名称</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5"/>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项目地点</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5"/>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建设单位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49"/>
              <w:ind w:left="176"/>
              <w:jc w:val="left"/>
              <w:rPr>
                <w:rFonts w:asciiTheme="minorEastAsia" w:hAnsiTheme="minorEastAsia" w:cs="宋体"/>
                <w:kern w:val="0"/>
                <w:szCs w:val="21"/>
              </w:rPr>
            </w:pPr>
            <w:r>
              <w:rPr>
                <w:rFonts w:asciiTheme="minorEastAsia" w:hAnsiTheme="minorEastAsia" w:cs="宋体"/>
                <w:kern w:val="0"/>
                <w:szCs w:val="21"/>
              </w:rPr>
              <w:t>总包单位</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9"/>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勘察单位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52"/>
              <w:ind w:left="176"/>
              <w:jc w:val="left"/>
              <w:rPr>
                <w:rFonts w:asciiTheme="minorEastAsia" w:hAnsiTheme="minorEastAsia" w:cs="宋体"/>
                <w:kern w:val="0"/>
                <w:szCs w:val="21"/>
              </w:rPr>
            </w:pPr>
            <w:r>
              <w:rPr>
                <w:rFonts w:asciiTheme="minorEastAsia" w:hAnsiTheme="minorEastAsia" w:cs="宋体"/>
                <w:kern w:val="0"/>
                <w:szCs w:val="21"/>
              </w:rPr>
              <w:t>监理单位</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设计单位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49"/>
              <w:ind w:left="176"/>
              <w:jc w:val="left"/>
              <w:rPr>
                <w:rFonts w:asciiTheme="minorEastAsia" w:hAnsiTheme="minorEastAsia" w:cs="宋体"/>
                <w:kern w:val="0"/>
                <w:szCs w:val="21"/>
              </w:rPr>
            </w:pPr>
            <w:r>
              <w:rPr>
                <w:rFonts w:asciiTheme="minorEastAsia" w:hAnsiTheme="minorEastAsia" w:cs="宋体"/>
                <w:kern w:val="0"/>
                <w:szCs w:val="21"/>
              </w:rPr>
              <w:t>保险公司</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形象进度</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工程阶段</w:t>
            </w:r>
          </w:p>
        </w:tc>
        <w:tc>
          <w:tcPr>
            <w:tcW w:w="291" w:type="dxa"/>
            <w:tcBorders>
              <w:right w:val="nil"/>
            </w:tcBorders>
          </w:tcPr>
          <w:p w:rsidR="001C66B0" w:rsidRDefault="001C66B0">
            <w:pPr>
              <w:jc w:val="left"/>
              <w:rPr>
                <w:rFonts w:asciiTheme="minorEastAsia" w:hAnsiTheme="minorEastAsia" w:cs="宋体"/>
                <w:kern w:val="0"/>
                <w:szCs w:val="21"/>
              </w:rPr>
            </w:pPr>
          </w:p>
        </w:tc>
        <w:tc>
          <w:tcPr>
            <w:tcW w:w="6566" w:type="dxa"/>
            <w:gridSpan w:val="6"/>
            <w:tcBorders>
              <w:left w:val="nil"/>
            </w:tcBorders>
          </w:tcPr>
          <w:p w:rsidR="001C66B0" w:rsidRDefault="00D005FC">
            <w:pPr>
              <w:spacing w:before="150"/>
              <w:ind w:leftChars="22" w:left="46"/>
              <w:jc w:val="left"/>
              <w:rPr>
                <w:rFonts w:asciiTheme="minorEastAsia" w:hAnsiTheme="minorEastAsia" w:cs="宋体"/>
                <w:kern w:val="0"/>
                <w:szCs w:val="21"/>
              </w:rPr>
            </w:pPr>
            <w:r>
              <w:rPr>
                <w:rFonts w:asciiTheme="minorEastAsia" w:hAnsiTheme="minorEastAsia" w:cs="宋体"/>
                <w:kern w:val="0"/>
                <w:szCs w:val="21"/>
              </w:rPr>
              <w:t>□准备</w:t>
            </w:r>
            <w:r>
              <w:rPr>
                <w:rFonts w:asciiTheme="minorEastAsia" w:hAnsiTheme="minorEastAsia" w:cs="宋体" w:hint="eastAsia"/>
                <w:kern w:val="0"/>
                <w:szCs w:val="21"/>
              </w:rPr>
              <w:t xml:space="preserve"> </w:t>
            </w:r>
            <w:r>
              <w:rPr>
                <w:rFonts w:asciiTheme="minorEastAsia" w:hAnsiTheme="minorEastAsia" w:cs="宋体"/>
                <w:kern w:val="0"/>
                <w:szCs w:val="21"/>
              </w:rPr>
              <w:t xml:space="preserve"> □桩基</w:t>
            </w:r>
            <w:r>
              <w:rPr>
                <w:rFonts w:asciiTheme="minorEastAsia" w:hAnsiTheme="minorEastAsia" w:cs="宋体" w:hint="eastAsia"/>
                <w:kern w:val="0"/>
                <w:szCs w:val="21"/>
              </w:rPr>
              <w:t xml:space="preserve"> </w:t>
            </w:r>
            <w:r>
              <w:rPr>
                <w:rFonts w:asciiTheme="minorEastAsia" w:hAnsiTheme="minorEastAsia" w:cs="宋体"/>
                <w:spacing w:val="-2"/>
                <w:kern w:val="0"/>
                <w:szCs w:val="21"/>
              </w:rPr>
              <w:t>□基</w:t>
            </w:r>
            <w:r>
              <w:rPr>
                <w:rFonts w:asciiTheme="minorEastAsia" w:hAnsiTheme="minorEastAsia" w:cs="宋体"/>
                <w:spacing w:val="-1"/>
                <w:kern w:val="0"/>
                <w:szCs w:val="21"/>
              </w:rPr>
              <w:t>础</w:t>
            </w:r>
            <w:r>
              <w:rPr>
                <w:rFonts w:asciiTheme="minorEastAsia" w:hAnsiTheme="minorEastAsia" w:cs="宋体" w:hint="eastAsia"/>
                <w:spacing w:val="-1"/>
                <w:kern w:val="0"/>
                <w:szCs w:val="21"/>
              </w:rPr>
              <w:t xml:space="preserve"> </w:t>
            </w:r>
            <w:r>
              <w:rPr>
                <w:rFonts w:asciiTheme="minorEastAsia" w:hAnsiTheme="minorEastAsia" w:cs="宋体"/>
                <w:spacing w:val="-1"/>
                <w:kern w:val="0"/>
                <w:szCs w:val="21"/>
              </w:rPr>
              <w:t xml:space="preserve"> </w:t>
            </w:r>
            <w:r>
              <w:rPr>
                <w:rFonts w:asciiTheme="minorEastAsia" w:hAnsiTheme="minorEastAsia" w:cs="宋体"/>
                <w:kern w:val="0"/>
                <w:szCs w:val="21"/>
              </w:rPr>
              <w:t>□主体</w:t>
            </w:r>
            <w:r>
              <w:rPr>
                <w:rFonts w:asciiTheme="minorEastAsia" w:hAnsiTheme="minorEastAsia" w:cs="宋体" w:hint="eastAsia"/>
                <w:kern w:val="0"/>
                <w:szCs w:val="21"/>
              </w:rPr>
              <w:t xml:space="preserve"> </w:t>
            </w:r>
            <w:r>
              <w:rPr>
                <w:rFonts w:asciiTheme="minorEastAsia" w:hAnsiTheme="minorEastAsia" w:cs="宋体"/>
                <w:kern w:val="0"/>
                <w:szCs w:val="21"/>
              </w:rPr>
              <w:t xml:space="preserve"> □机电</w:t>
            </w:r>
            <w:r>
              <w:rPr>
                <w:rFonts w:asciiTheme="minorEastAsia" w:hAnsiTheme="minorEastAsia" w:cs="宋体"/>
                <w:kern w:val="0"/>
                <w:szCs w:val="21"/>
              </w:rPr>
              <w:tab/>
              <w:t>□装饰</w:t>
            </w:r>
            <w:r>
              <w:rPr>
                <w:rFonts w:asciiTheme="minorEastAsia" w:hAnsiTheme="minorEastAsia" w:cs="宋体" w:hint="eastAsia"/>
                <w:kern w:val="0"/>
                <w:szCs w:val="21"/>
              </w:rPr>
              <w:t xml:space="preserve"> </w:t>
            </w:r>
            <w:r>
              <w:rPr>
                <w:rFonts w:asciiTheme="minorEastAsia" w:hAnsiTheme="minorEastAsia" w:cs="宋体"/>
                <w:kern w:val="0"/>
                <w:szCs w:val="21"/>
              </w:rPr>
              <w:t xml:space="preserve"> □竣工</w:t>
            </w: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检查方式</w:t>
            </w:r>
          </w:p>
        </w:tc>
        <w:tc>
          <w:tcPr>
            <w:tcW w:w="291" w:type="dxa"/>
            <w:tcBorders>
              <w:right w:val="nil"/>
            </w:tcBorders>
          </w:tcPr>
          <w:p w:rsidR="001C66B0" w:rsidRDefault="001C66B0">
            <w:pPr>
              <w:jc w:val="left"/>
              <w:rPr>
                <w:rFonts w:asciiTheme="minorEastAsia" w:hAnsiTheme="minorEastAsia" w:cs="宋体"/>
                <w:kern w:val="0"/>
                <w:szCs w:val="21"/>
              </w:rPr>
            </w:pPr>
          </w:p>
        </w:tc>
        <w:tc>
          <w:tcPr>
            <w:tcW w:w="6566" w:type="dxa"/>
            <w:gridSpan w:val="6"/>
            <w:tcBorders>
              <w:left w:val="nil"/>
            </w:tcBorders>
          </w:tcPr>
          <w:p w:rsidR="001C66B0" w:rsidRDefault="00D005FC">
            <w:pPr>
              <w:spacing w:before="152"/>
              <w:ind w:leftChars="22" w:left="46"/>
              <w:jc w:val="left"/>
              <w:rPr>
                <w:rFonts w:asciiTheme="minorEastAsia" w:hAnsiTheme="minorEastAsia" w:cs="宋体"/>
                <w:kern w:val="0"/>
                <w:szCs w:val="21"/>
              </w:rPr>
            </w:pPr>
            <w:r>
              <w:rPr>
                <w:rFonts w:asciiTheme="minorEastAsia" w:hAnsiTheme="minorEastAsia" w:cs="宋体"/>
                <w:kern w:val="0"/>
                <w:szCs w:val="21"/>
              </w:rPr>
              <w:t>□复查</w:t>
            </w:r>
            <w:r>
              <w:rPr>
                <w:rFonts w:asciiTheme="minorEastAsia" w:hAnsiTheme="minorEastAsia" w:cs="宋体" w:hint="eastAsia"/>
                <w:kern w:val="0"/>
                <w:szCs w:val="21"/>
              </w:rPr>
              <w:t xml:space="preserve"> </w:t>
            </w:r>
            <w:r>
              <w:rPr>
                <w:rFonts w:asciiTheme="minorEastAsia" w:hAnsiTheme="minorEastAsia" w:cs="宋体"/>
                <w:kern w:val="0"/>
                <w:szCs w:val="21"/>
              </w:rPr>
              <w:t xml:space="preserve"> □目测</w:t>
            </w:r>
            <w:r>
              <w:rPr>
                <w:rFonts w:asciiTheme="minorEastAsia" w:hAnsiTheme="minorEastAsia" w:cs="宋体" w:hint="eastAsia"/>
                <w:kern w:val="0"/>
                <w:szCs w:val="21"/>
              </w:rPr>
              <w:t xml:space="preserve"> </w:t>
            </w:r>
            <w:r>
              <w:rPr>
                <w:rFonts w:asciiTheme="minorEastAsia" w:hAnsiTheme="minorEastAsia" w:cs="宋体"/>
                <w:kern w:val="0"/>
                <w:szCs w:val="21"/>
              </w:rPr>
              <w:t>□资料审查</w:t>
            </w:r>
            <w:r>
              <w:rPr>
                <w:rFonts w:asciiTheme="minorEastAsia" w:hAnsiTheme="minorEastAsia" w:cs="宋体" w:hint="eastAsia"/>
                <w:kern w:val="0"/>
                <w:szCs w:val="21"/>
              </w:rPr>
              <w:t xml:space="preserve"> </w:t>
            </w:r>
            <w:r>
              <w:rPr>
                <w:rFonts w:asciiTheme="minorEastAsia" w:hAnsiTheme="minorEastAsia" w:cs="宋体"/>
                <w:kern w:val="0"/>
                <w:szCs w:val="21"/>
              </w:rPr>
              <w:t>□实测实量</w:t>
            </w:r>
            <w:r>
              <w:rPr>
                <w:rFonts w:asciiTheme="minorEastAsia" w:hAnsiTheme="minorEastAsia" w:cs="宋体" w:hint="eastAsia"/>
                <w:kern w:val="0"/>
                <w:szCs w:val="21"/>
              </w:rPr>
              <w:t xml:space="preserve"> </w:t>
            </w:r>
            <w:r>
              <w:rPr>
                <w:rFonts w:asciiTheme="minorEastAsia" w:hAnsiTheme="minorEastAsia" w:cs="宋体"/>
                <w:kern w:val="0"/>
                <w:szCs w:val="21"/>
              </w:rPr>
              <w:t>□其他</w:t>
            </w: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检查日期</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参考资料</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8"/>
          <w:jc w:val="center"/>
        </w:trPr>
        <w:tc>
          <w:tcPr>
            <w:tcW w:w="8463" w:type="dxa"/>
            <w:gridSpan w:val="8"/>
          </w:tcPr>
          <w:p w:rsidR="001C66B0" w:rsidRDefault="00D005FC">
            <w:pPr>
              <w:spacing w:before="152"/>
              <w:ind w:left="100" w:right="169"/>
              <w:jc w:val="center"/>
              <w:rPr>
                <w:rFonts w:asciiTheme="minorEastAsia" w:hAnsiTheme="minorEastAsia" w:cs="宋体"/>
                <w:kern w:val="0"/>
                <w:szCs w:val="21"/>
              </w:rPr>
            </w:pPr>
            <w:r>
              <w:rPr>
                <w:rFonts w:asciiTheme="minorEastAsia" w:hAnsiTheme="minorEastAsia" w:cs="宋体"/>
                <w:spacing w:val="-1"/>
                <w:kern w:val="0"/>
                <w:szCs w:val="21"/>
              </w:rPr>
              <w:t>本次检查涉及保险范围</w:t>
            </w:r>
          </w:p>
        </w:tc>
      </w:tr>
      <w:tr w:rsidR="001C66B0">
        <w:trPr>
          <w:trHeight w:val="2194"/>
          <w:jc w:val="center"/>
        </w:trPr>
        <w:tc>
          <w:tcPr>
            <w:tcW w:w="8463" w:type="dxa"/>
            <w:gridSpan w:val="8"/>
          </w:tcPr>
          <w:p w:rsidR="001C66B0" w:rsidRDefault="001C66B0">
            <w:pPr>
              <w:jc w:val="left"/>
              <w:rPr>
                <w:rFonts w:asciiTheme="minorEastAsia" w:hAnsiTheme="minorEastAsia" w:cs="宋体"/>
                <w:kern w:val="0"/>
                <w:szCs w:val="21"/>
              </w:rPr>
            </w:pPr>
          </w:p>
        </w:tc>
      </w:tr>
      <w:tr w:rsidR="001C66B0">
        <w:trPr>
          <w:trHeight w:val="566"/>
          <w:jc w:val="center"/>
        </w:trPr>
        <w:tc>
          <w:tcPr>
            <w:tcW w:w="8463" w:type="dxa"/>
            <w:gridSpan w:val="8"/>
          </w:tcPr>
          <w:p w:rsidR="001C66B0" w:rsidRDefault="00D005FC">
            <w:pPr>
              <w:spacing w:before="150"/>
              <w:ind w:left="3247" w:right="3246"/>
              <w:jc w:val="center"/>
              <w:rPr>
                <w:rFonts w:asciiTheme="minorEastAsia" w:hAnsiTheme="minorEastAsia" w:cs="宋体"/>
                <w:kern w:val="0"/>
                <w:szCs w:val="21"/>
              </w:rPr>
            </w:pPr>
            <w:r>
              <w:rPr>
                <w:rFonts w:asciiTheme="minorEastAsia" w:hAnsiTheme="minorEastAsia" w:cs="宋体"/>
                <w:kern w:val="0"/>
                <w:szCs w:val="21"/>
              </w:rPr>
              <w:t>检查人员</w:t>
            </w:r>
          </w:p>
        </w:tc>
      </w:tr>
      <w:tr w:rsidR="001C66B0">
        <w:trPr>
          <w:trHeight w:val="568"/>
          <w:jc w:val="center"/>
        </w:trPr>
        <w:tc>
          <w:tcPr>
            <w:tcW w:w="1897" w:type="dxa"/>
            <w:gridSpan w:val="2"/>
          </w:tcPr>
          <w:p w:rsidR="001C66B0" w:rsidRDefault="00D005FC">
            <w:pPr>
              <w:spacing w:before="152"/>
              <w:ind w:left="717" w:right="709"/>
              <w:jc w:val="center"/>
              <w:rPr>
                <w:rFonts w:asciiTheme="minorEastAsia" w:hAnsiTheme="minorEastAsia" w:cs="宋体"/>
                <w:kern w:val="0"/>
                <w:szCs w:val="21"/>
              </w:rPr>
            </w:pPr>
            <w:r>
              <w:rPr>
                <w:rFonts w:asciiTheme="minorEastAsia" w:hAnsiTheme="minorEastAsia" w:cs="宋体"/>
                <w:kern w:val="0"/>
                <w:szCs w:val="21"/>
              </w:rPr>
              <w:t>姓名</w:t>
            </w:r>
          </w:p>
        </w:tc>
        <w:tc>
          <w:tcPr>
            <w:tcW w:w="1740" w:type="dxa"/>
          </w:tcPr>
          <w:p w:rsidR="001C66B0" w:rsidRDefault="00D005FC">
            <w:pPr>
              <w:spacing w:before="152"/>
              <w:ind w:left="638" w:right="632"/>
              <w:jc w:val="center"/>
              <w:rPr>
                <w:rFonts w:asciiTheme="minorEastAsia" w:hAnsiTheme="minorEastAsia" w:cs="宋体"/>
                <w:kern w:val="0"/>
                <w:szCs w:val="21"/>
              </w:rPr>
            </w:pPr>
            <w:r>
              <w:rPr>
                <w:rFonts w:asciiTheme="minorEastAsia" w:hAnsiTheme="minorEastAsia" w:cs="宋体"/>
                <w:kern w:val="0"/>
                <w:szCs w:val="21"/>
              </w:rPr>
              <w:t>职称</w:t>
            </w:r>
          </w:p>
        </w:tc>
        <w:tc>
          <w:tcPr>
            <w:tcW w:w="1817" w:type="dxa"/>
            <w:gridSpan w:val="2"/>
          </w:tcPr>
          <w:p w:rsidR="001C66B0" w:rsidRDefault="00D005FC">
            <w:pPr>
              <w:spacing w:before="152"/>
              <w:ind w:left="674" w:right="673"/>
              <w:jc w:val="center"/>
              <w:rPr>
                <w:rFonts w:asciiTheme="minorEastAsia" w:hAnsiTheme="minorEastAsia" w:cs="宋体"/>
                <w:kern w:val="0"/>
                <w:szCs w:val="21"/>
              </w:rPr>
            </w:pPr>
            <w:r>
              <w:rPr>
                <w:rFonts w:asciiTheme="minorEastAsia" w:hAnsiTheme="minorEastAsia" w:cs="宋体"/>
                <w:kern w:val="0"/>
                <w:szCs w:val="21"/>
              </w:rPr>
              <w:t>学历</w:t>
            </w:r>
          </w:p>
        </w:tc>
        <w:tc>
          <w:tcPr>
            <w:tcW w:w="1593" w:type="dxa"/>
            <w:gridSpan w:val="2"/>
          </w:tcPr>
          <w:p w:rsidR="001C66B0" w:rsidRDefault="00D005FC">
            <w:pPr>
              <w:spacing w:before="152"/>
              <w:ind w:left="561" w:right="561"/>
              <w:jc w:val="center"/>
              <w:rPr>
                <w:rFonts w:asciiTheme="minorEastAsia" w:hAnsiTheme="minorEastAsia" w:cs="宋体"/>
                <w:kern w:val="0"/>
                <w:szCs w:val="21"/>
              </w:rPr>
            </w:pPr>
            <w:r>
              <w:rPr>
                <w:rFonts w:asciiTheme="minorEastAsia" w:hAnsiTheme="minorEastAsia" w:cs="宋体"/>
                <w:kern w:val="0"/>
                <w:szCs w:val="21"/>
              </w:rPr>
              <w:t>职位</w:t>
            </w:r>
          </w:p>
        </w:tc>
        <w:tc>
          <w:tcPr>
            <w:tcW w:w="1416" w:type="dxa"/>
          </w:tcPr>
          <w:p w:rsidR="001C66B0" w:rsidRDefault="00D005FC">
            <w:pPr>
              <w:spacing w:before="152"/>
              <w:ind w:left="558" w:right="560"/>
              <w:jc w:val="center"/>
              <w:rPr>
                <w:rFonts w:asciiTheme="minorEastAsia" w:hAnsiTheme="minorEastAsia" w:cs="宋体"/>
                <w:kern w:val="0"/>
                <w:szCs w:val="21"/>
              </w:rPr>
            </w:pPr>
            <w:r>
              <w:rPr>
                <w:rFonts w:asciiTheme="minorEastAsia" w:hAnsiTheme="minorEastAsia" w:cs="宋体"/>
                <w:kern w:val="0"/>
                <w:szCs w:val="21"/>
              </w:rPr>
              <w:t>专业</w:t>
            </w:r>
          </w:p>
        </w:tc>
      </w:tr>
      <w:tr w:rsidR="001C66B0">
        <w:trPr>
          <w:trHeight w:val="565"/>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r w:rsidR="001C66B0">
        <w:trPr>
          <w:trHeight w:val="565"/>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r w:rsidR="001C66B0">
        <w:trPr>
          <w:trHeight w:val="568"/>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bl>
    <w:p w:rsidR="001C66B0" w:rsidRDefault="001C66B0">
      <w:pPr>
        <w:autoSpaceDE w:val="0"/>
        <w:autoSpaceDN w:val="0"/>
        <w:jc w:val="left"/>
        <w:rPr>
          <w:rFonts w:ascii="Times New Roman" w:eastAsia="宋体" w:hAnsi="宋体" w:cs="宋体"/>
          <w:kern w:val="0"/>
          <w:sz w:val="20"/>
        </w:rPr>
        <w:sectPr w:rsidR="001C66B0">
          <w:pgSz w:w="11910" w:h="16840"/>
          <w:pgMar w:top="1400" w:right="1220" w:bottom="1600" w:left="1400" w:header="995" w:footer="1323" w:gutter="0"/>
          <w:cols w:space="720"/>
        </w:sectPr>
      </w:pPr>
      <w:bookmarkStart w:id="79" w:name="_bookmark22"/>
      <w:bookmarkEnd w:id="79"/>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表E</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601"/>
      </w:tblGrid>
      <w:tr w:rsidR="001C66B0">
        <w:trPr>
          <w:trHeight w:val="489"/>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施工进度情况</w:t>
            </w:r>
          </w:p>
        </w:tc>
      </w:tr>
      <w:tr w:rsidR="001C66B0">
        <w:trPr>
          <w:trHeight w:val="1729"/>
          <w:jc w:val="center"/>
        </w:trPr>
        <w:tc>
          <w:tcPr>
            <w:tcW w:w="8601" w:type="dxa"/>
          </w:tcPr>
          <w:p w:rsidR="001C66B0" w:rsidRDefault="001C66B0">
            <w:pPr>
              <w:jc w:val="left"/>
              <w:rPr>
                <w:rFonts w:ascii="Times New Roman" w:eastAsia="宋体" w:hAnsi="宋体" w:cs="宋体"/>
                <w:kern w:val="0"/>
                <w:szCs w:val="21"/>
              </w:rPr>
            </w:pPr>
          </w:p>
        </w:tc>
      </w:tr>
      <w:tr w:rsidR="001C66B0">
        <w:trPr>
          <w:trHeight w:val="487"/>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前期风险追踪</w:t>
            </w:r>
          </w:p>
        </w:tc>
      </w:tr>
      <w:tr w:rsidR="001C66B0">
        <w:trPr>
          <w:trHeight w:val="5445"/>
          <w:jc w:val="center"/>
        </w:trPr>
        <w:tc>
          <w:tcPr>
            <w:tcW w:w="8601" w:type="dxa"/>
          </w:tcPr>
          <w:p w:rsidR="001C66B0" w:rsidRDefault="00D005FC">
            <w:pPr>
              <w:spacing w:before="113"/>
              <w:ind w:left="107"/>
              <w:jc w:val="left"/>
              <w:rPr>
                <w:rFonts w:ascii="宋体" w:eastAsia="宋体" w:hAnsi="宋体" w:cs="宋体"/>
                <w:b/>
                <w:kern w:val="0"/>
                <w:szCs w:val="21"/>
              </w:rPr>
            </w:pPr>
            <w:r>
              <w:rPr>
                <w:rFonts w:ascii="宋体" w:eastAsia="宋体" w:hAnsi="宋体" w:cs="宋体"/>
                <w:b/>
                <w:kern w:val="0"/>
                <w:szCs w:val="21"/>
              </w:rPr>
              <w:t>已整改风险汇总</w:t>
            </w: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spacing w:before="12"/>
              <w:jc w:val="left"/>
              <w:rPr>
                <w:rFonts w:ascii="宋体" w:eastAsia="宋体" w:hAnsi="宋体" w:cs="宋体"/>
                <w:b/>
                <w:kern w:val="0"/>
                <w:szCs w:val="21"/>
              </w:rPr>
            </w:pPr>
          </w:p>
          <w:p w:rsidR="001C66B0" w:rsidRDefault="00D005FC">
            <w:pPr>
              <w:ind w:left="107"/>
              <w:jc w:val="left"/>
              <w:rPr>
                <w:rFonts w:ascii="宋体" w:eastAsia="宋体" w:hAnsi="宋体" w:cs="宋体"/>
                <w:b/>
                <w:kern w:val="0"/>
                <w:szCs w:val="21"/>
              </w:rPr>
            </w:pPr>
            <w:r>
              <w:rPr>
                <w:rFonts w:ascii="宋体" w:eastAsia="宋体" w:hAnsi="宋体" w:cs="宋体"/>
                <w:b/>
                <w:kern w:val="0"/>
                <w:szCs w:val="21"/>
              </w:rPr>
              <w:t>未整改风险汇总</w:t>
            </w:r>
          </w:p>
        </w:tc>
      </w:tr>
      <w:tr w:rsidR="001C66B0">
        <w:trPr>
          <w:trHeight w:val="489"/>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本次检查情况汇总</w:t>
            </w:r>
          </w:p>
        </w:tc>
      </w:tr>
      <w:tr w:rsidR="001C66B0">
        <w:trPr>
          <w:trHeight w:val="3422"/>
          <w:jc w:val="center"/>
        </w:trPr>
        <w:tc>
          <w:tcPr>
            <w:tcW w:w="8601" w:type="dxa"/>
          </w:tcPr>
          <w:p w:rsidR="001C66B0" w:rsidRDefault="00D005FC">
            <w:pPr>
              <w:spacing w:before="111"/>
              <w:ind w:left="107"/>
              <w:jc w:val="left"/>
              <w:rPr>
                <w:rFonts w:ascii="宋体" w:eastAsia="宋体" w:hAnsi="宋体" w:cs="宋体"/>
                <w:kern w:val="0"/>
                <w:szCs w:val="21"/>
              </w:rPr>
            </w:pPr>
            <w:r>
              <w:rPr>
                <w:rFonts w:ascii="宋体" w:eastAsia="宋体" w:hAnsi="宋体" w:cs="宋体"/>
                <w:spacing w:val="-1"/>
                <w:kern w:val="0"/>
                <w:szCs w:val="21"/>
              </w:rPr>
              <w:t>检查内容、检查位置、检查发现的问题及风险等级等</w:t>
            </w:r>
          </w:p>
        </w:tc>
      </w:tr>
    </w:tbl>
    <w:p w:rsidR="001C66B0" w:rsidRDefault="001C66B0">
      <w:pPr>
        <w:autoSpaceDE w:val="0"/>
        <w:autoSpaceDN w:val="0"/>
        <w:jc w:val="left"/>
        <w:rPr>
          <w:rFonts w:ascii="宋体" w:eastAsia="宋体" w:hAnsi="宋体" w:cs="宋体"/>
          <w:kern w:val="0"/>
        </w:rPr>
        <w:sectPr w:rsidR="001C66B0">
          <w:pgSz w:w="11910" w:h="16840"/>
          <w:pgMar w:top="1400" w:right="1220" w:bottom="1520" w:left="1400" w:header="995" w:footer="1323" w:gutter="0"/>
          <w:cols w:space="720"/>
        </w:sectPr>
      </w:pPr>
    </w:p>
    <w:p w:rsidR="001C66B0" w:rsidRDefault="00D005FC">
      <w:pPr>
        <w:jc w:val="center"/>
      </w:pPr>
      <w:r>
        <w:rPr>
          <w:rFonts w:hint="eastAsia"/>
        </w:rPr>
        <w:lastRenderedPageBreak/>
        <w:t>续</w:t>
      </w:r>
      <w:r>
        <w:rPr>
          <w:rFonts w:asciiTheme="minorEastAsia" w:hAnsiTheme="minorEastAsia" w:hint="eastAsia"/>
        </w:rPr>
        <w:t>表E</w:t>
      </w:r>
    </w:p>
    <w:tbl>
      <w:tblPr>
        <w:tblStyle w:val="TableNormal2"/>
        <w:tblpPr w:leftFromText="180" w:rightFromText="180" w:vertAnchor="text" w:horzAnchor="margin" w:tblpXSpec="center" w:tblpY="258"/>
        <w:tblW w:w="0" w:type="auto"/>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77"/>
        <w:gridCol w:w="2413"/>
        <w:gridCol w:w="3262"/>
      </w:tblGrid>
      <w:tr w:rsidR="001C66B0">
        <w:trPr>
          <w:trHeight w:val="489"/>
        </w:trPr>
        <w:tc>
          <w:tcPr>
            <w:tcW w:w="8652" w:type="dxa"/>
            <w:gridSpan w:val="3"/>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风险问题汇总</w:t>
            </w:r>
          </w:p>
        </w:tc>
      </w:tr>
      <w:tr w:rsidR="001C66B0">
        <w:trPr>
          <w:trHeight w:val="3597"/>
        </w:trPr>
        <w:tc>
          <w:tcPr>
            <w:tcW w:w="8652" w:type="dxa"/>
            <w:gridSpan w:val="3"/>
          </w:tcPr>
          <w:p w:rsidR="001C66B0" w:rsidRDefault="001C66B0">
            <w:pPr>
              <w:jc w:val="left"/>
              <w:rPr>
                <w:rFonts w:ascii="Times New Roman" w:eastAsia="宋体" w:hAnsi="宋体" w:cs="宋体"/>
                <w:kern w:val="0"/>
                <w:szCs w:val="21"/>
              </w:rPr>
            </w:pPr>
          </w:p>
        </w:tc>
      </w:tr>
      <w:tr w:rsidR="001C66B0">
        <w:trPr>
          <w:trHeight w:val="489"/>
        </w:trPr>
        <w:tc>
          <w:tcPr>
            <w:tcW w:w="8652" w:type="dxa"/>
            <w:gridSpan w:val="3"/>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结论及技术建议</w:t>
            </w:r>
          </w:p>
        </w:tc>
      </w:tr>
      <w:tr w:rsidR="001C66B0">
        <w:trPr>
          <w:trHeight w:val="3422"/>
        </w:trPr>
        <w:tc>
          <w:tcPr>
            <w:tcW w:w="8652" w:type="dxa"/>
            <w:gridSpan w:val="3"/>
          </w:tcPr>
          <w:p w:rsidR="001C66B0" w:rsidRDefault="001C66B0">
            <w:pPr>
              <w:jc w:val="left"/>
              <w:rPr>
                <w:rFonts w:ascii="Times New Roman" w:eastAsia="宋体" w:hAnsi="宋体" w:cs="宋体"/>
                <w:kern w:val="0"/>
                <w:szCs w:val="21"/>
              </w:rPr>
            </w:pPr>
          </w:p>
        </w:tc>
      </w:tr>
      <w:tr w:rsidR="001C66B0">
        <w:trPr>
          <w:trHeight w:val="489"/>
        </w:trPr>
        <w:tc>
          <w:tcPr>
            <w:tcW w:w="2977" w:type="dxa"/>
          </w:tcPr>
          <w:p w:rsidR="001C66B0" w:rsidRDefault="00D005FC">
            <w:pPr>
              <w:spacing w:before="114"/>
              <w:ind w:left="107"/>
              <w:jc w:val="left"/>
              <w:rPr>
                <w:rFonts w:ascii="宋体" w:eastAsia="宋体" w:hAnsi="宋体" w:cs="宋体"/>
                <w:kern w:val="0"/>
                <w:szCs w:val="21"/>
              </w:rPr>
            </w:pPr>
            <w:r>
              <w:rPr>
                <w:rFonts w:ascii="宋体" w:eastAsia="宋体" w:hAnsi="宋体" w:cs="宋体"/>
                <w:kern w:val="0"/>
                <w:szCs w:val="21"/>
              </w:rPr>
              <w:t>编制人</w:t>
            </w:r>
          </w:p>
        </w:tc>
        <w:tc>
          <w:tcPr>
            <w:tcW w:w="2413" w:type="dxa"/>
          </w:tcPr>
          <w:p w:rsidR="001C66B0" w:rsidRDefault="00D005FC">
            <w:pPr>
              <w:spacing w:before="114"/>
              <w:ind w:left="107"/>
              <w:jc w:val="left"/>
              <w:rPr>
                <w:rFonts w:ascii="宋体" w:eastAsia="宋体" w:hAnsi="宋体" w:cs="宋体"/>
                <w:kern w:val="0"/>
                <w:szCs w:val="21"/>
              </w:rPr>
            </w:pPr>
            <w:r>
              <w:rPr>
                <w:rFonts w:ascii="宋体" w:eastAsia="宋体" w:hAnsi="宋体" w:cs="宋体"/>
                <w:kern w:val="0"/>
                <w:szCs w:val="21"/>
              </w:rPr>
              <w:t>审核人</w:t>
            </w:r>
          </w:p>
        </w:tc>
        <w:tc>
          <w:tcPr>
            <w:tcW w:w="3262" w:type="dxa"/>
          </w:tcPr>
          <w:p w:rsidR="001C66B0" w:rsidRDefault="00D005FC">
            <w:pPr>
              <w:spacing w:before="114"/>
              <w:ind w:left="104"/>
              <w:jc w:val="left"/>
              <w:rPr>
                <w:rFonts w:ascii="宋体" w:eastAsia="宋体" w:hAnsi="宋体" w:cs="宋体"/>
                <w:kern w:val="0"/>
                <w:szCs w:val="21"/>
              </w:rPr>
            </w:pPr>
            <w:r>
              <w:rPr>
                <w:rFonts w:ascii="宋体" w:eastAsia="宋体" w:hAnsi="宋体" w:cs="宋体"/>
                <w:kern w:val="0"/>
                <w:szCs w:val="21"/>
              </w:rPr>
              <w:t>批准人</w:t>
            </w:r>
          </w:p>
        </w:tc>
      </w:tr>
      <w:tr w:rsidR="001C66B0">
        <w:trPr>
          <w:trHeight w:val="1468"/>
        </w:trPr>
        <w:tc>
          <w:tcPr>
            <w:tcW w:w="2977" w:type="dxa"/>
          </w:tcPr>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姓名：</w:t>
            </w:r>
          </w:p>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日期：</w:t>
            </w:r>
          </w:p>
        </w:tc>
        <w:tc>
          <w:tcPr>
            <w:tcW w:w="2413" w:type="dxa"/>
          </w:tcPr>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姓名：</w:t>
            </w:r>
          </w:p>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日期：</w:t>
            </w:r>
          </w:p>
        </w:tc>
        <w:tc>
          <w:tcPr>
            <w:tcW w:w="3262" w:type="dxa"/>
          </w:tcPr>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姓名：</w:t>
            </w:r>
          </w:p>
          <w:p w:rsidR="001C66B0" w:rsidRDefault="00D005FC">
            <w:pPr>
              <w:spacing w:before="111" w:line="436" w:lineRule="auto"/>
              <w:ind w:left="107" w:right="1406"/>
              <w:jc w:val="left"/>
              <w:rPr>
                <w:rFonts w:ascii="宋体" w:eastAsia="宋体" w:hAnsi="宋体" w:cs="宋体"/>
                <w:kern w:val="0"/>
                <w:szCs w:val="21"/>
              </w:rPr>
            </w:pPr>
            <w:r>
              <w:rPr>
                <w:rFonts w:ascii="宋体" w:eastAsia="宋体" w:hAnsi="宋体" w:cs="宋体"/>
                <w:kern w:val="0"/>
                <w:szCs w:val="21"/>
              </w:rPr>
              <w:t>日期：</w:t>
            </w:r>
          </w:p>
          <w:p w:rsidR="001C66B0" w:rsidRDefault="00D005FC">
            <w:pPr>
              <w:ind w:left="104" w:right="1406"/>
              <w:jc w:val="left"/>
              <w:rPr>
                <w:rFonts w:ascii="宋体" w:eastAsia="宋体" w:hAnsi="宋体" w:cs="宋体"/>
                <w:kern w:val="0"/>
                <w:szCs w:val="21"/>
              </w:rPr>
            </w:pPr>
            <w:r>
              <w:rPr>
                <w:rFonts w:ascii="宋体" w:eastAsia="宋体" w:hAnsi="宋体" w:cs="宋体"/>
                <w:kern w:val="0"/>
                <w:szCs w:val="21"/>
              </w:rPr>
              <w:t>公司签章：</w:t>
            </w:r>
          </w:p>
        </w:tc>
      </w:tr>
    </w:tbl>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1C66B0">
      <w:pPr>
        <w:autoSpaceDE w:val="0"/>
        <w:autoSpaceDN w:val="0"/>
        <w:spacing w:before="5" w:after="1"/>
        <w:jc w:val="left"/>
        <w:rPr>
          <w:rFonts w:ascii="宋体" w:eastAsia="宋体" w:hAnsi="宋体" w:cs="宋体"/>
          <w:b/>
          <w:kern w:val="0"/>
          <w:sz w:val="28"/>
          <w:szCs w:val="24"/>
        </w:rPr>
      </w:pPr>
    </w:p>
    <w:p w:rsidR="001C66B0" w:rsidRDefault="00D005FC">
      <w:pPr>
        <w:widowControl/>
        <w:jc w:val="left"/>
        <w:rPr>
          <w:rFonts w:asciiTheme="minorEastAsia" w:hAnsiTheme="minorEastAsia" w:cstheme="minorEastAsia"/>
          <w:b/>
          <w:bCs/>
        </w:rPr>
      </w:pPr>
      <w:r>
        <w:rPr>
          <w:rFonts w:asciiTheme="minorEastAsia" w:hAnsiTheme="minorEastAsia" w:cstheme="minorEastAsia"/>
          <w:b/>
          <w:bCs/>
        </w:rPr>
        <w:br w:type="page"/>
      </w: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80" w:name="_Toc176713681"/>
      <w:r>
        <w:rPr>
          <w:rFonts w:asciiTheme="minorEastAsia" w:hAnsiTheme="minorEastAsia" w:cstheme="minorEastAsia" w:hint="eastAsia"/>
          <w:b/>
          <w:bCs/>
        </w:rPr>
        <w:lastRenderedPageBreak/>
        <w:t xml:space="preserve">附录F </w:t>
      </w:r>
      <w:r>
        <w:rPr>
          <w:rFonts w:asciiTheme="minorEastAsia" w:hAnsiTheme="minorEastAsia" w:cstheme="minorEastAsia"/>
          <w:b/>
          <w:bCs/>
        </w:rPr>
        <w:t>A</w:t>
      </w:r>
      <w:r>
        <w:rPr>
          <w:rFonts w:asciiTheme="minorEastAsia" w:hAnsiTheme="minorEastAsia" w:cstheme="minorEastAsia" w:hint="eastAsia"/>
          <w:b/>
          <w:bCs/>
        </w:rPr>
        <w:t>1-xx施工安全过程风险评估报告参考模板</w:t>
      </w:r>
      <w:bookmarkEnd w:id="80"/>
    </w:p>
    <w:p w:rsidR="001C66B0" w:rsidRDefault="00D005FC">
      <w:pPr>
        <w:rPr>
          <w:rFonts w:asciiTheme="minorEastAsia" w:hAnsiTheme="minorEastAsia"/>
          <w:bCs/>
        </w:rPr>
      </w:pPr>
      <w:r>
        <w:rPr>
          <w:rFonts w:asciiTheme="minorEastAsia" w:hAnsiTheme="minorEastAsia" w:hint="eastAsia"/>
          <w:bCs/>
        </w:rPr>
        <w:t>A1-xx施工安全过程风险评估报告参考模板见表F。</w:t>
      </w:r>
    </w:p>
    <w:p w:rsidR="001C66B0" w:rsidRDefault="001C66B0">
      <w:pPr>
        <w:rPr>
          <w:bCs/>
        </w:rPr>
      </w:pPr>
    </w:p>
    <w:p w:rsidR="001C66B0" w:rsidRDefault="00D005FC">
      <w:pPr>
        <w:spacing w:line="360" w:lineRule="auto"/>
        <w:jc w:val="center"/>
        <w:rPr>
          <w:rFonts w:asciiTheme="minorEastAsia" w:hAnsiTheme="minorEastAsia" w:cstheme="minorEastAsia"/>
          <w:b/>
          <w:bCs/>
        </w:rPr>
      </w:pPr>
      <w:r>
        <w:rPr>
          <w:rFonts w:asciiTheme="minorEastAsia" w:hAnsiTheme="minorEastAsia" w:hint="eastAsia"/>
          <w:b/>
        </w:rPr>
        <w:t>表F A1-xx施工安全过程风险评估报告</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606"/>
        <w:gridCol w:w="291"/>
        <w:gridCol w:w="1740"/>
        <w:gridCol w:w="891"/>
        <w:gridCol w:w="926"/>
        <w:gridCol w:w="277"/>
        <w:gridCol w:w="1316"/>
        <w:gridCol w:w="1416"/>
      </w:tblGrid>
      <w:tr w:rsidR="001C66B0">
        <w:trPr>
          <w:trHeight w:val="565"/>
          <w:jc w:val="center"/>
        </w:trPr>
        <w:tc>
          <w:tcPr>
            <w:tcW w:w="8463" w:type="dxa"/>
            <w:gridSpan w:val="8"/>
          </w:tcPr>
          <w:p w:rsidR="001C66B0" w:rsidRDefault="00D005FC">
            <w:pPr>
              <w:spacing w:before="150"/>
              <w:ind w:left="107"/>
              <w:jc w:val="left"/>
              <w:rPr>
                <w:rFonts w:asciiTheme="minorEastAsia" w:hAnsiTheme="minorEastAsia" w:cs="宋体"/>
                <w:b/>
                <w:kern w:val="0"/>
                <w:szCs w:val="21"/>
              </w:rPr>
            </w:pPr>
            <w:r>
              <w:rPr>
                <w:rFonts w:asciiTheme="minorEastAsia" w:hAnsiTheme="minorEastAsia" w:cs="宋体"/>
                <w:b/>
                <w:kern w:val="0"/>
                <w:szCs w:val="21"/>
              </w:rPr>
              <w:t>项目基本信息</w:t>
            </w: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项目名称</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5"/>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项目地点</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5"/>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建设单位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49"/>
              <w:ind w:left="176"/>
              <w:jc w:val="left"/>
              <w:rPr>
                <w:rFonts w:asciiTheme="minorEastAsia" w:hAnsiTheme="minorEastAsia" w:cs="宋体"/>
                <w:kern w:val="0"/>
                <w:szCs w:val="21"/>
              </w:rPr>
            </w:pPr>
            <w:r>
              <w:rPr>
                <w:rFonts w:asciiTheme="minorEastAsia" w:hAnsiTheme="minorEastAsia" w:cs="宋体"/>
                <w:kern w:val="0"/>
                <w:szCs w:val="21"/>
              </w:rPr>
              <w:t>总包单位</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9"/>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勘察单位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52"/>
              <w:ind w:left="176"/>
              <w:jc w:val="left"/>
              <w:rPr>
                <w:rFonts w:asciiTheme="minorEastAsia" w:hAnsiTheme="minorEastAsia" w:cs="宋体"/>
                <w:kern w:val="0"/>
                <w:szCs w:val="21"/>
              </w:rPr>
            </w:pPr>
            <w:r>
              <w:rPr>
                <w:rFonts w:asciiTheme="minorEastAsia" w:hAnsiTheme="minorEastAsia" w:cs="宋体"/>
                <w:kern w:val="0"/>
                <w:szCs w:val="21"/>
              </w:rPr>
              <w:t>监理单位</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49"/>
              <w:ind w:right="370"/>
              <w:jc w:val="right"/>
              <w:rPr>
                <w:rFonts w:asciiTheme="minorEastAsia" w:hAnsiTheme="minorEastAsia" w:cs="宋体"/>
                <w:kern w:val="0"/>
                <w:szCs w:val="21"/>
              </w:rPr>
            </w:pPr>
            <w:r>
              <w:rPr>
                <w:rFonts w:asciiTheme="minorEastAsia" w:hAnsiTheme="minorEastAsia" w:cs="宋体"/>
                <w:kern w:val="0"/>
                <w:szCs w:val="21"/>
              </w:rPr>
              <w:t>设计单位</w:t>
            </w:r>
          </w:p>
        </w:tc>
        <w:tc>
          <w:tcPr>
            <w:tcW w:w="2922" w:type="dxa"/>
            <w:gridSpan w:val="3"/>
          </w:tcPr>
          <w:p w:rsidR="001C66B0" w:rsidRDefault="001C66B0">
            <w:pPr>
              <w:jc w:val="left"/>
              <w:rPr>
                <w:rFonts w:asciiTheme="minorEastAsia" w:hAnsiTheme="minorEastAsia" w:cs="宋体"/>
                <w:kern w:val="0"/>
                <w:szCs w:val="21"/>
              </w:rPr>
            </w:pPr>
          </w:p>
        </w:tc>
        <w:tc>
          <w:tcPr>
            <w:tcW w:w="1203" w:type="dxa"/>
            <w:gridSpan w:val="2"/>
          </w:tcPr>
          <w:p w:rsidR="001C66B0" w:rsidRDefault="00D005FC">
            <w:pPr>
              <w:spacing w:before="149"/>
              <w:ind w:left="176"/>
              <w:jc w:val="left"/>
              <w:rPr>
                <w:rFonts w:asciiTheme="minorEastAsia" w:hAnsiTheme="minorEastAsia" w:cs="宋体"/>
                <w:kern w:val="0"/>
                <w:szCs w:val="21"/>
              </w:rPr>
            </w:pPr>
            <w:r>
              <w:rPr>
                <w:rFonts w:asciiTheme="minorEastAsia" w:hAnsiTheme="minorEastAsia" w:cs="宋体"/>
                <w:kern w:val="0"/>
                <w:szCs w:val="21"/>
              </w:rPr>
              <w:t>保险公司</w:t>
            </w:r>
          </w:p>
        </w:tc>
        <w:tc>
          <w:tcPr>
            <w:tcW w:w="2732" w:type="dxa"/>
            <w:gridSpan w:val="2"/>
          </w:tcPr>
          <w:p w:rsidR="001C66B0" w:rsidRDefault="001C66B0">
            <w:pPr>
              <w:jc w:val="left"/>
              <w:rPr>
                <w:rFonts w:asciiTheme="minorEastAsia" w:hAnsiTheme="minorEastAsia" w:cs="宋体"/>
                <w:kern w:val="0"/>
                <w:szCs w:val="21"/>
              </w:rPr>
            </w:pP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形象进度</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工程阶段</w:t>
            </w:r>
          </w:p>
        </w:tc>
        <w:tc>
          <w:tcPr>
            <w:tcW w:w="291" w:type="dxa"/>
            <w:tcBorders>
              <w:right w:val="nil"/>
            </w:tcBorders>
          </w:tcPr>
          <w:p w:rsidR="001C66B0" w:rsidRDefault="001C66B0">
            <w:pPr>
              <w:jc w:val="left"/>
              <w:rPr>
                <w:rFonts w:asciiTheme="minorEastAsia" w:hAnsiTheme="minorEastAsia" w:cs="宋体"/>
                <w:kern w:val="0"/>
                <w:szCs w:val="21"/>
              </w:rPr>
            </w:pPr>
          </w:p>
        </w:tc>
        <w:tc>
          <w:tcPr>
            <w:tcW w:w="6566" w:type="dxa"/>
            <w:gridSpan w:val="6"/>
            <w:tcBorders>
              <w:left w:val="nil"/>
            </w:tcBorders>
          </w:tcPr>
          <w:p w:rsidR="001C66B0" w:rsidRDefault="00D005FC">
            <w:pPr>
              <w:spacing w:before="150"/>
              <w:ind w:leftChars="22" w:left="46"/>
              <w:jc w:val="left"/>
              <w:rPr>
                <w:rFonts w:asciiTheme="minorEastAsia" w:hAnsiTheme="minorEastAsia" w:cs="宋体"/>
                <w:kern w:val="0"/>
                <w:szCs w:val="21"/>
              </w:rPr>
            </w:pPr>
            <w:r>
              <w:rPr>
                <w:rFonts w:asciiTheme="minorEastAsia" w:hAnsiTheme="minorEastAsia" w:cs="宋体"/>
                <w:kern w:val="0"/>
                <w:szCs w:val="21"/>
              </w:rPr>
              <w:t>□准备</w:t>
            </w:r>
            <w:r>
              <w:rPr>
                <w:rFonts w:asciiTheme="minorEastAsia" w:hAnsiTheme="minorEastAsia" w:cs="宋体" w:hint="eastAsia"/>
                <w:kern w:val="0"/>
                <w:szCs w:val="21"/>
              </w:rPr>
              <w:t xml:space="preserve"> </w:t>
            </w:r>
            <w:r>
              <w:rPr>
                <w:rFonts w:asciiTheme="minorEastAsia" w:hAnsiTheme="minorEastAsia" w:cs="宋体"/>
                <w:kern w:val="0"/>
                <w:szCs w:val="21"/>
              </w:rPr>
              <w:t xml:space="preserve"> □桩基</w:t>
            </w:r>
            <w:r>
              <w:rPr>
                <w:rFonts w:asciiTheme="minorEastAsia" w:hAnsiTheme="minorEastAsia" w:cs="宋体" w:hint="eastAsia"/>
                <w:kern w:val="0"/>
                <w:szCs w:val="21"/>
              </w:rPr>
              <w:t xml:space="preserve"> </w:t>
            </w:r>
            <w:r>
              <w:rPr>
                <w:rFonts w:asciiTheme="minorEastAsia" w:hAnsiTheme="minorEastAsia" w:cs="宋体"/>
                <w:spacing w:val="-2"/>
                <w:kern w:val="0"/>
                <w:szCs w:val="21"/>
              </w:rPr>
              <w:t>□基</w:t>
            </w:r>
            <w:r>
              <w:rPr>
                <w:rFonts w:asciiTheme="minorEastAsia" w:hAnsiTheme="minorEastAsia" w:cs="宋体"/>
                <w:spacing w:val="-1"/>
                <w:kern w:val="0"/>
                <w:szCs w:val="21"/>
              </w:rPr>
              <w:t>础</w:t>
            </w:r>
            <w:r>
              <w:rPr>
                <w:rFonts w:asciiTheme="minorEastAsia" w:hAnsiTheme="minorEastAsia" w:cs="宋体" w:hint="eastAsia"/>
                <w:spacing w:val="-1"/>
                <w:kern w:val="0"/>
                <w:szCs w:val="21"/>
              </w:rPr>
              <w:t xml:space="preserve"> </w:t>
            </w:r>
            <w:r>
              <w:rPr>
                <w:rFonts w:asciiTheme="minorEastAsia" w:hAnsiTheme="minorEastAsia" w:cs="宋体"/>
                <w:spacing w:val="-1"/>
                <w:kern w:val="0"/>
                <w:szCs w:val="21"/>
              </w:rPr>
              <w:t xml:space="preserve"> </w:t>
            </w:r>
            <w:r>
              <w:rPr>
                <w:rFonts w:asciiTheme="minorEastAsia" w:hAnsiTheme="minorEastAsia" w:cs="宋体"/>
                <w:kern w:val="0"/>
                <w:szCs w:val="21"/>
              </w:rPr>
              <w:t>□主体</w:t>
            </w:r>
            <w:r>
              <w:rPr>
                <w:rFonts w:asciiTheme="minorEastAsia" w:hAnsiTheme="minorEastAsia" w:cs="宋体" w:hint="eastAsia"/>
                <w:kern w:val="0"/>
                <w:szCs w:val="21"/>
              </w:rPr>
              <w:t xml:space="preserve"> </w:t>
            </w:r>
            <w:r>
              <w:rPr>
                <w:rFonts w:asciiTheme="minorEastAsia" w:hAnsiTheme="minorEastAsia" w:cs="宋体"/>
                <w:kern w:val="0"/>
                <w:szCs w:val="21"/>
              </w:rPr>
              <w:t xml:space="preserve"> □机电</w:t>
            </w:r>
            <w:r>
              <w:rPr>
                <w:rFonts w:asciiTheme="minorEastAsia" w:hAnsiTheme="minorEastAsia" w:cs="宋体"/>
                <w:kern w:val="0"/>
                <w:szCs w:val="21"/>
              </w:rPr>
              <w:tab/>
              <w:t>□装饰</w:t>
            </w:r>
            <w:r>
              <w:rPr>
                <w:rFonts w:asciiTheme="minorEastAsia" w:hAnsiTheme="minorEastAsia" w:cs="宋体" w:hint="eastAsia"/>
                <w:kern w:val="0"/>
                <w:szCs w:val="21"/>
              </w:rPr>
              <w:t xml:space="preserve"> </w:t>
            </w:r>
            <w:r>
              <w:rPr>
                <w:rFonts w:asciiTheme="minorEastAsia" w:hAnsiTheme="minorEastAsia" w:cs="宋体"/>
                <w:kern w:val="0"/>
                <w:szCs w:val="21"/>
              </w:rPr>
              <w:t xml:space="preserve"> □竣工</w:t>
            </w:r>
          </w:p>
        </w:tc>
      </w:tr>
      <w:tr w:rsidR="001C66B0">
        <w:trPr>
          <w:trHeight w:val="568"/>
          <w:jc w:val="center"/>
        </w:trPr>
        <w:tc>
          <w:tcPr>
            <w:tcW w:w="1606" w:type="dxa"/>
          </w:tcPr>
          <w:p w:rsidR="001C66B0" w:rsidRDefault="00D005FC">
            <w:pPr>
              <w:spacing w:before="152"/>
              <w:ind w:right="370"/>
              <w:jc w:val="right"/>
              <w:rPr>
                <w:rFonts w:asciiTheme="minorEastAsia" w:hAnsiTheme="minorEastAsia" w:cs="宋体"/>
                <w:kern w:val="0"/>
                <w:szCs w:val="21"/>
              </w:rPr>
            </w:pPr>
            <w:r>
              <w:rPr>
                <w:rFonts w:asciiTheme="minorEastAsia" w:hAnsiTheme="minorEastAsia" w:cs="宋体"/>
                <w:kern w:val="0"/>
                <w:szCs w:val="21"/>
              </w:rPr>
              <w:t>检查方式</w:t>
            </w:r>
          </w:p>
        </w:tc>
        <w:tc>
          <w:tcPr>
            <w:tcW w:w="291" w:type="dxa"/>
            <w:tcBorders>
              <w:right w:val="nil"/>
            </w:tcBorders>
          </w:tcPr>
          <w:p w:rsidR="001C66B0" w:rsidRDefault="001C66B0">
            <w:pPr>
              <w:jc w:val="left"/>
              <w:rPr>
                <w:rFonts w:asciiTheme="minorEastAsia" w:hAnsiTheme="minorEastAsia" w:cs="宋体"/>
                <w:kern w:val="0"/>
                <w:szCs w:val="21"/>
              </w:rPr>
            </w:pPr>
          </w:p>
        </w:tc>
        <w:tc>
          <w:tcPr>
            <w:tcW w:w="6566" w:type="dxa"/>
            <w:gridSpan w:val="6"/>
            <w:tcBorders>
              <w:left w:val="nil"/>
            </w:tcBorders>
          </w:tcPr>
          <w:p w:rsidR="001C66B0" w:rsidRDefault="00D005FC">
            <w:pPr>
              <w:spacing w:before="152"/>
              <w:ind w:leftChars="22" w:left="46"/>
              <w:jc w:val="left"/>
              <w:rPr>
                <w:rFonts w:asciiTheme="minorEastAsia" w:hAnsiTheme="minorEastAsia" w:cs="宋体"/>
                <w:kern w:val="0"/>
                <w:szCs w:val="21"/>
              </w:rPr>
            </w:pPr>
            <w:r>
              <w:rPr>
                <w:rFonts w:asciiTheme="minorEastAsia" w:hAnsiTheme="minorEastAsia" w:cs="宋体"/>
                <w:kern w:val="0"/>
                <w:szCs w:val="21"/>
              </w:rPr>
              <w:t>□复查</w:t>
            </w:r>
            <w:r>
              <w:rPr>
                <w:rFonts w:asciiTheme="minorEastAsia" w:hAnsiTheme="minorEastAsia" w:cs="宋体" w:hint="eastAsia"/>
                <w:kern w:val="0"/>
                <w:szCs w:val="21"/>
              </w:rPr>
              <w:t xml:space="preserve"> </w:t>
            </w:r>
            <w:r>
              <w:rPr>
                <w:rFonts w:asciiTheme="minorEastAsia" w:hAnsiTheme="minorEastAsia" w:cs="宋体"/>
                <w:kern w:val="0"/>
                <w:szCs w:val="21"/>
              </w:rPr>
              <w:t xml:space="preserve"> □目测</w:t>
            </w:r>
            <w:r>
              <w:rPr>
                <w:rFonts w:asciiTheme="minorEastAsia" w:hAnsiTheme="minorEastAsia" w:cs="宋体" w:hint="eastAsia"/>
                <w:kern w:val="0"/>
                <w:szCs w:val="21"/>
              </w:rPr>
              <w:t xml:space="preserve"> </w:t>
            </w:r>
            <w:r>
              <w:rPr>
                <w:rFonts w:asciiTheme="minorEastAsia" w:hAnsiTheme="minorEastAsia" w:cs="宋体"/>
                <w:kern w:val="0"/>
                <w:szCs w:val="21"/>
              </w:rPr>
              <w:t>□资料审查</w:t>
            </w:r>
            <w:r>
              <w:rPr>
                <w:rFonts w:asciiTheme="minorEastAsia" w:hAnsiTheme="minorEastAsia" w:cs="宋体" w:hint="eastAsia"/>
                <w:kern w:val="0"/>
                <w:szCs w:val="21"/>
              </w:rPr>
              <w:t xml:space="preserve"> </w:t>
            </w:r>
            <w:r>
              <w:rPr>
                <w:rFonts w:asciiTheme="minorEastAsia" w:hAnsiTheme="minorEastAsia" w:cs="宋体"/>
                <w:kern w:val="0"/>
                <w:szCs w:val="21"/>
              </w:rPr>
              <w:t>□实测实量</w:t>
            </w:r>
            <w:r>
              <w:rPr>
                <w:rFonts w:asciiTheme="minorEastAsia" w:hAnsiTheme="minorEastAsia" w:cs="宋体" w:hint="eastAsia"/>
                <w:kern w:val="0"/>
                <w:szCs w:val="21"/>
              </w:rPr>
              <w:t xml:space="preserve"> </w:t>
            </w:r>
            <w:r>
              <w:rPr>
                <w:rFonts w:asciiTheme="minorEastAsia" w:hAnsiTheme="minorEastAsia" w:cs="宋体"/>
                <w:kern w:val="0"/>
                <w:szCs w:val="21"/>
              </w:rPr>
              <w:t>□其他</w:t>
            </w: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检查日期</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6"/>
          <w:jc w:val="center"/>
        </w:trPr>
        <w:tc>
          <w:tcPr>
            <w:tcW w:w="1606" w:type="dxa"/>
          </w:tcPr>
          <w:p w:rsidR="001C66B0" w:rsidRDefault="00D005FC">
            <w:pPr>
              <w:spacing w:before="150"/>
              <w:ind w:right="370"/>
              <w:jc w:val="right"/>
              <w:rPr>
                <w:rFonts w:asciiTheme="minorEastAsia" w:hAnsiTheme="minorEastAsia" w:cs="宋体"/>
                <w:kern w:val="0"/>
                <w:szCs w:val="21"/>
              </w:rPr>
            </w:pPr>
            <w:r>
              <w:rPr>
                <w:rFonts w:asciiTheme="minorEastAsia" w:hAnsiTheme="minorEastAsia" w:cs="宋体"/>
                <w:kern w:val="0"/>
                <w:szCs w:val="21"/>
              </w:rPr>
              <w:t>参考资料</w:t>
            </w:r>
          </w:p>
        </w:tc>
        <w:tc>
          <w:tcPr>
            <w:tcW w:w="6857" w:type="dxa"/>
            <w:gridSpan w:val="7"/>
          </w:tcPr>
          <w:p w:rsidR="001C66B0" w:rsidRDefault="001C66B0">
            <w:pPr>
              <w:jc w:val="left"/>
              <w:rPr>
                <w:rFonts w:asciiTheme="minorEastAsia" w:hAnsiTheme="minorEastAsia" w:cs="宋体"/>
                <w:kern w:val="0"/>
                <w:szCs w:val="21"/>
              </w:rPr>
            </w:pPr>
          </w:p>
        </w:tc>
      </w:tr>
      <w:tr w:rsidR="001C66B0">
        <w:trPr>
          <w:trHeight w:val="568"/>
          <w:jc w:val="center"/>
        </w:trPr>
        <w:tc>
          <w:tcPr>
            <w:tcW w:w="8463" w:type="dxa"/>
            <w:gridSpan w:val="8"/>
          </w:tcPr>
          <w:p w:rsidR="001C66B0" w:rsidRDefault="00D005FC">
            <w:pPr>
              <w:spacing w:before="152"/>
              <w:ind w:left="100" w:right="169"/>
              <w:jc w:val="center"/>
              <w:rPr>
                <w:rFonts w:asciiTheme="minorEastAsia" w:hAnsiTheme="minorEastAsia" w:cs="宋体"/>
                <w:kern w:val="0"/>
                <w:szCs w:val="21"/>
              </w:rPr>
            </w:pPr>
            <w:r>
              <w:rPr>
                <w:rFonts w:asciiTheme="minorEastAsia" w:hAnsiTheme="minorEastAsia" w:cs="宋体"/>
                <w:spacing w:val="-1"/>
                <w:kern w:val="0"/>
                <w:szCs w:val="21"/>
              </w:rPr>
              <w:t>本次检查涉及保险范围</w:t>
            </w:r>
          </w:p>
        </w:tc>
      </w:tr>
      <w:tr w:rsidR="001C66B0">
        <w:trPr>
          <w:trHeight w:val="2194"/>
          <w:jc w:val="center"/>
        </w:trPr>
        <w:tc>
          <w:tcPr>
            <w:tcW w:w="8463" w:type="dxa"/>
            <w:gridSpan w:val="8"/>
          </w:tcPr>
          <w:p w:rsidR="001C66B0" w:rsidRDefault="001C66B0">
            <w:pPr>
              <w:jc w:val="left"/>
              <w:rPr>
                <w:rFonts w:asciiTheme="minorEastAsia" w:hAnsiTheme="minorEastAsia" w:cs="宋体"/>
                <w:kern w:val="0"/>
                <w:szCs w:val="21"/>
              </w:rPr>
            </w:pPr>
          </w:p>
        </w:tc>
      </w:tr>
      <w:tr w:rsidR="001C66B0">
        <w:trPr>
          <w:trHeight w:val="566"/>
          <w:jc w:val="center"/>
        </w:trPr>
        <w:tc>
          <w:tcPr>
            <w:tcW w:w="8463" w:type="dxa"/>
            <w:gridSpan w:val="8"/>
          </w:tcPr>
          <w:p w:rsidR="001C66B0" w:rsidRDefault="00D005FC">
            <w:pPr>
              <w:spacing w:before="150"/>
              <w:ind w:left="3247" w:right="3246"/>
              <w:jc w:val="center"/>
              <w:rPr>
                <w:rFonts w:asciiTheme="minorEastAsia" w:hAnsiTheme="minorEastAsia" w:cs="宋体"/>
                <w:kern w:val="0"/>
                <w:szCs w:val="21"/>
              </w:rPr>
            </w:pPr>
            <w:r>
              <w:rPr>
                <w:rFonts w:asciiTheme="minorEastAsia" w:hAnsiTheme="minorEastAsia" w:cs="宋体"/>
                <w:kern w:val="0"/>
                <w:szCs w:val="21"/>
              </w:rPr>
              <w:t>检查人员</w:t>
            </w:r>
          </w:p>
        </w:tc>
      </w:tr>
      <w:tr w:rsidR="001C66B0">
        <w:trPr>
          <w:trHeight w:val="568"/>
          <w:jc w:val="center"/>
        </w:trPr>
        <w:tc>
          <w:tcPr>
            <w:tcW w:w="1897" w:type="dxa"/>
            <w:gridSpan w:val="2"/>
          </w:tcPr>
          <w:p w:rsidR="001C66B0" w:rsidRDefault="00D005FC">
            <w:pPr>
              <w:spacing w:before="152"/>
              <w:ind w:left="717" w:right="709"/>
              <w:jc w:val="center"/>
              <w:rPr>
                <w:rFonts w:asciiTheme="minorEastAsia" w:hAnsiTheme="minorEastAsia" w:cs="宋体"/>
                <w:kern w:val="0"/>
                <w:szCs w:val="21"/>
              </w:rPr>
            </w:pPr>
            <w:r>
              <w:rPr>
                <w:rFonts w:asciiTheme="minorEastAsia" w:hAnsiTheme="minorEastAsia" w:cs="宋体"/>
                <w:kern w:val="0"/>
                <w:szCs w:val="21"/>
              </w:rPr>
              <w:t>姓名</w:t>
            </w:r>
          </w:p>
        </w:tc>
        <w:tc>
          <w:tcPr>
            <w:tcW w:w="1740" w:type="dxa"/>
          </w:tcPr>
          <w:p w:rsidR="001C66B0" w:rsidRDefault="00D005FC">
            <w:pPr>
              <w:spacing w:before="152"/>
              <w:ind w:left="638" w:right="632"/>
              <w:jc w:val="center"/>
              <w:rPr>
                <w:rFonts w:asciiTheme="minorEastAsia" w:hAnsiTheme="minorEastAsia" w:cs="宋体"/>
                <w:kern w:val="0"/>
                <w:szCs w:val="21"/>
              </w:rPr>
            </w:pPr>
            <w:r>
              <w:rPr>
                <w:rFonts w:asciiTheme="minorEastAsia" w:hAnsiTheme="minorEastAsia" w:cs="宋体"/>
                <w:kern w:val="0"/>
                <w:szCs w:val="21"/>
              </w:rPr>
              <w:t>职称</w:t>
            </w:r>
          </w:p>
        </w:tc>
        <w:tc>
          <w:tcPr>
            <w:tcW w:w="1817" w:type="dxa"/>
            <w:gridSpan w:val="2"/>
          </w:tcPr>
          <w:p w:rsidR="001C66B0" w:rsidRDefault="00D005FC">
            <w:pPr>
              <w:spacing w:before="152"/>
              <w:ind w:left="674" w:right="673"/>
              <w:jc w:val="center"/>
              <w:rPr>
                <w:rFonts w:asciiTheme="minorEastAsia" w:hAnsiTheme="minorEastAsia" w:cs="宋体"/>
                <w:kern w:val="0"/>
                <w:szCs w:val="21"/>
              </w:rPr>
            </w:pPr>
            <w:r>
              <w:rPr>
                <w:rFonts w:asciiTheme="minorEastAsia" w:hAnsiTheme="minorEastAsia" w:cs="宋体"/>
                <w:kern w:val="0"/>
                <w:szCs w:val="21"/>
              </w:rPr>
              <w:t>学历</w:t>
            </w:r>
          </w:p>
        </w:tc>
        <w:tc>
          <w:tcPr>
            <w:tcW w:w="1593" w:type="dxa"/>
            <w:gridSpan w:val="2"/>
          </w:tcPr>
          <w:p w:rsidR="001C66B0" w:rsidRDefault="00D005FC">
            <w:pPr>
              <w:spacing w:before="152"/>
              <w:ind w:left="561" w:right="561"/>
              <w:jc w:val="center"/>
              <w:rPr>
                <w:rFonts w:asciiTheme="minorEastAsia" w:hAnsiTheme="minorEastAsia" w:cs="宋体"/>
                <w:kern w:val="0"/>
                <w:szCs w:val="21"/>
              </w:rPr>
            </w:pPr>
            <w:r>
              <w:rPr>
                <w:rFonts w:asciiTheme="minorEastAsia" w:hAnsiTheme="minorEastAsia" w:cs="宋体"/>
                <w:kern w:val="0"/>
                <w:szCs w:val="21"/>
              </w:rPr>
              <w:t>职位</w:t>
            </w:r>
          </w:p>
        </w:tc>
        <w:tc>
          <w:tcPr>
            <w:tcW w:w="1416" w:type="dxa"/>
          </w:tcPr>
          <w:p w:rsidR="001C66B0" w:rsidRDefault="00D005FC">
            <w:pPr>
              <w:spacing w:before="152"/>
              <w:ind w:left="558" w:right="560"/>
              <w:jc w:val="center"/>
              <w:rPr>
                <w:rFonts w:asciiTheme="minorEastAsia" w:hAnsiTheme="minorEastAsia" w:cs="宋体"/>
                <w:kern w:val="0"/>
                <w:szCs w:val="21"/>
              </w:rPr>
            </w:pPr>
            <w:r>
              <w:rPr>
                <w:rFonts w:asciiTheme="minorEastAsia" w:hAnsiTheme="minorEastAsia" w:cs="宋体"/>
                <w:kern w:val="0"/>
                <w:szCs w:val="21"/>
              </w:rPr>
              <w:t>专业</w:t>
            </w:r>
          </w:p>
        </w:tc>
      </w:tr>
      <w:tr w:rsidR="001C66B0">
        <w:trPr>
          <w:trHeight w:val="565"/>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r w:rsidR="001C66B0">
        <w:trPr>
          <w:trHeight w:val="565"/>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r w:rsidR="001C66B0">
        <w:trPr>
          <w:trHeight w:val="568"/>
          <w:jc w:val="center"/>
        </w:trPr>
        <w:tc>
          <w:tcPr>
            <w:tcW w:w="1897" w:type="dxa"/>
            <w:gridSpan w:val="2"/>
          </w:tcPr>
          <w:p w:rsidR="001C66B0" w:rsidRDefault="001C66B0">
            <w:pPr>
              <w:jc w:val="left"/>
              <w:rPr>
                <w:rFonts w:asciiTheme="minorEastAsia" w:hAnsiTheme="minorEastAsia" w:cs="宋体"/>
                <w:kern w:val="0"/>
                <w:szCs w:val="21"/>
              </w:rPr>
            </w:pPr>
          </w:p>
        </w:tc>
        <w:tc>
          <w:tcPr>
            <w:tcW w:w="1740" w:type="dxa"/>
          </w:tcPr>
          <w:p w:rsidR="001C66B0" w:rsidRDefault="001C66B0">
            <w:pPr>
              <w:jc w:val="left"/>
              <w:rPr>
                <w:rFonts w:asciiTheme="minorEastAsia" w:hAnsiTheme="minorEastAsia" w:cs="宋体"/>
                <w:kern w:val="0"/>
                <w:szCs w:val="21"/>
              </w:rPr>
            </w:pPr>
          </w:p>
        </w:tc>
        <w:tc>
          <w:tcPr>
            <w:tcW w:w="1817" w:type="dxa"/>
            <w:gridSpan w:val="2"/>
          </w:tcPr>
          <w:p w:rsidR="001C66B0" w:rsidRDefault="001C66B0">
            <w:pPr>
              <w:jc w:val="left"/>
              <w:rPr>
                <w:rFonts w:asciiTheme="minorEastAsia" w:hAnsiTheme="minorEastAsia" w:cs="宋体"/>
                <w:kern w:val="0"/>
                <w:szCs w:val="21"/>
              </w:rPr>
            </w:pPr>
          </w:p>
        </w:tc>
        <w:tc>
          <w:tcPr>
            <w:tcW w:w="1593" w:type="dxa"/>
            <w:gridSpan w:val="2"/>
          </w:tcPr>
          <w:p w:rsidR="001C66B0" w:rsidRDefault="001C66B0">
            <w:pPr>
              <w:jc w:val="left"/>
              <w:rPr>
                <w:rFonts w:asciiTheme="minorEastAsia" w:hAnsiTheme="minorEastAsia" w:cs="宋体"/>
                <w:kern w:val="0"/>
                <w:szCs w:val="21"/>
              </w:rPr>
            </w:pPr>
          </w:p>
        </w:tc>
        <w:tc>
          <w:tcPr>
            <w:tcW w:w="1416" w:type="dxa"/>
          </w:tcPr>
          <w:p w:rsidR="001C66B0" w:rsidRDefault="001C66B0">
            <w:pPr>
              <w:jc w:val="left"/>
              <w:rPr>
                <w:rFonts w:asciiTheme="minorEastAsia" w:hAnsiTheme="minorEastAsia" w:cs="宋体"/>
                <w:kern w:val="0"/>
                <w:szCs w:val="21"/>
              </w:rPr>
            </w:pPr>
          </w:p>
        </w:tc>
      </w:tr>
    </w:tbl>
    <w:p w:rsidR="001C66B0" w:rsidRDefault="001C66B0">
      <w:pPr>
        <w:autoSpaceDE w:val="0"/>
        <w:autoSpaceDN w:val="0"/>
        <w:jc w:val="left"/>
        <w:rPr>
          <w:rFonts w:ascii="Times New Roman" w:eastAsia="宋体" w:hAnsi="宋体" w:cs="宋体"/>
          <w:kern w:val="0"/>
          <w:sz w:val="20"/>
        </w:rPr>
        <w:sectPr w:rsidR="001C66B0">
          <w:pgSz w:w="11910" w:h="16840"/>
          <w:pgMar w:top="1400" w:right="1220" w:bottom="1600" w:left="1400" w:header="995" w:footer="1323" w:gutter="0"/>
          <w:cols w:space="720"/>
        </w:sectPr>
      </w:pPr>
    </w:p>
    <w:p w:rsidR="001C66B0" w:rsidRDefault="001C66B0">
      <w:pPr>
        <w:autoSpaceDE w:val="0"/>
        <w:autoSpaceDN w:val="0"/>
        <w:spacing w:before="12"/>
        <w:jc w:val="left"/>
        <w:rPr>
          <w:rFonts w:ascii="宋体" w:eastAsia="宋体" w:hAnsi="宋体" w:cs="宋体"/>
          <w:b/>
          <w:kern w:val="0"/>
          <w:sz w:val="2"/>
          <w:szCs w:val="24"/>
        </w:rPr>
      </w:pPr>
    </w:p>
    <w:p w:rsidR="001C66B0" w:rsidRDefault="00D005FC">
      <w:pPr>
        <w:jc w:val="center"/>
      </w:pPr>
      <w:r>
        <w:rPr>
          <w:rFonts w:hint="eastAsia"/>
        </w:rPr>
        <w:t>续</w:t>
      </w:r>
      <w:r>
        <w:rPr>
          <w:rFonts w:asciiTheme="minorEastAsia" w:hAnsiTheme="minorEastAsia" w:hint="eastAsia"/>
        </w:rPr>
        <w:t>表F</w:t>
      </w:r>
    </w:p>
    <w:tbl>
      <w:tblPr>
        <w:tblStyle w:val="TableNormal2"/>
        <w:tblW w:w="0" w:type="auto"/>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601"/>
      </w:tblGrid>
      <w:tr w:rsidR="001C66B0">
        <w:trPr>
          <w:trHeight w:val="489"/>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施工进度情况</w:t>
            </w:r>
          </w:p>
        </w:tc>
      </w:tr>
      <w:tr w:rsidR="001C66B0">
        <w:trPr>
          <w:trHeight w:val="1729"/>
          <w:jc w:val="center"/>
        </w:trPr>
        <w:tc>
          <w:tcPr>
            <w:tcW w:w="8601" w:type="dxa"/>
          </w:tcPr>
          <w:p w:rsidR="001C66B0" w:rsidRDefault="001C66B0">
            <w:pPr>
              <w:jc w:val="left"/>
              <w:rPr>
                <w:rFonts w:ascii="Times New Roman" w:eastAsia="宋体" w:hAnsi="宋体" w:cs="宋体"/>
                <w:kern w:val="0"/>
                <w:szCs w:val="21"/>
              </w:rPr>
            </w:pPr>
          </w:p>
        </w:tc>
      </w:tr>
      <w:tr w:rsidR="001C66B0">
        <w:trPr>
          <w:trHeight w:val="487"/>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前期风险追踪</w:t>
            </w:r>
          </w:p>
        </w:tc>
      </w:tr>
      <w:tr w:rsidR="001C66B0">
        <w:trPr>
          <w:trHeight w:val="5445"/>
          <w:jc w:val="center"/>
        </w:trPr>
        <w:tc>
          <w:tcPr>
            <w:tcW w:w="8601" w:type="dxa"/>
          </w:tcPr>
          <w:p w:rsidR="001C66B0" w:rsidRDefault="00D005FC">
            <w:pPr>
              <w:spacing w:before="113"/>
              <w:ind w:left="107"/>
              <w:jc w:val="left"/>
              <w:rPr>
                <w:rFonts w:ascii="宋体" w:eastAsia="宋体" w:hAnsi="宋体" w:cs="宋体"/>
                <w:b/>
                <w:kern w:val="0"/>
                <w:szCs w:val="21"/>
              </w:rPr>
            </w:pPr>
            <w:r>
              <w:rPr>
                <w:rFonts w:ascii="宋体" w:eastAsia="宋体" w:hAnsi="宋体" w:cs="宋体"/>
                <w:b/>
                <w:kern w:val="0"/>
                <w:szCs w:val="21"/>
              </w:rPr>
              <w:t>已整改风险汇总</w:t>
            </w: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jc w:val="left"/>
              <w:rPr>
                <w:rFonts w:ascii="宋体" w:eastAsia="宋体" w:hAnsi="宋体" w:cs="宋体"/>
                <w:b/>
                <w:kern w:val="0"/>
                <w:szCs w:val="21"/>
              </w:rPr>
            </w:pPr>
          </w:p>
          <w:p w:rsidR="001C66B0" w:rsidRDefault="001C66B0">
            <w:pPr>
              <w:spacing w:before="12"/>
              <w:jc w:val="left"/>
              <w:rPr>
                <w:rFonts w:ascii="宋体" w:eastAsia="宋体" w:hAnsi="宋体" w:cs="宋体"/>
                <w:b/>
                <w:kern w:val="0"/>
                <w:szCs w:val="21"/>
              </w:rPr>
            </w:pPr>
          </w:p>
          <w:p w:rsidR="001C66B0" w:rsidRDefault="00D005FC">
            <w:pPr>
              <w:ind w:left="107"/>
              <w:jc w:val="left"/>
              <w:rPr>
                <w:rFonts w:ascii="宋体" w:eastAsia="宋体" w:hAnsi="宋体" w:cs="宋体"/>
                <w:b/>
                <w:kern w:val="0"/>
                <w:szCs w:val="21"/>
              </w:rPr>
            </w:pPr>
            <w:r>
              <w:rPr>
                <w:rFonts w:ascii="宋体" w:eastAsia="宋体" w:hAnsi="宋体" w:cs="宋体"/>
                <w:b/>
                <w:kern w:val="0"/>
                <w:szCs w:val="21"/>
              </w:rPr>
              <w:t>未整改风险汇总</w:t>
            </w:r>
          </w:p>
        </w:tc>
      </w:tr>
      <w:tr w:rsidR="001C66B0">
        <w:trPr>
          <w:trHeight w:val="489"/>
          <w:jc w:val="center"/>
        </w:trPr>
        <w:tc>
          <w:tcPr>
            <w:tcW w:w="8601" w:type="dxa"/>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本次检查情况汇总</w:t>
            </w:r>
          </w:p>
        </w:tc>
      </w:tr>
      <w:tr w:rsidR="001C66B0">
        <w:trPr>
          <w:trHeight w:val="3422"/>
          <w:jc w:val="center"/>
        </w:trPr>
        <w:tc>
          <w:tcPr>
            <w:tcW w:w="8601" w:type="dxa"/>
          </w:tcPr>
          <w:p w:rsidR="001C66B0" w:rsidRDefault="00D005FC">
            <w:pPr>
              <w:spacing w:before="111"/>
              <w:ind w:left="107"/>
              <w:jc w:val="left"/>
              <w:rPr>
                <w:rFonts w:ascii="宋体" w:eastAsia="宋体" w:hAnsi="宋体" w:cs="宋体"/>
                <w:kern w:val="0"/>
                <w:szCs w:val="21"/>
              </w:rPr>
            </w:pPr>
            <w:r>
              <w:rPr>
                <w:rFonts w:ascii="宋体" w:eastAsia="宋体" w:hAnsi="宋体" w:cs="宋体"/>
                <w:spacing w:val="-1"/>
                <w:kern w:val="0"/>
                <w:szCs w:val="21"/>
              </w:rPr>
              <w:t>检查内容、检查位置、检查发现的问题及风险等级等</w:t>
            </w:r>
          </w:p>
        </w:tc>
      </w:tr>
    </w:tbl>
    <w:p w:rsidR="001C66B0" w:rsidRDefault="001C66B0">
      <w:pPr>
        <w:autoSpaceDE w:val="0"/>
        <w:autoSpaceDN w:val="0"/>
        <w:jc w:val="left"/>
        <w:rPr>
          <w:rFonts w:ascii="宋体" w:eastAsia="宋体" w:hAnsi="宋体" w:cs="宋体"/>
          <w:kern w:val="0"/>
        </w:rPr>
        <w:sectPr w:rsidR="001C66B0">
          <w:pgSz w:w="11910" w:h="16840"/>
          <w:pgMar w:top="1400" w:right="1220" w:bottom="1520" w:left="1400" w:header="995" w:footer="1323" w:gutter="0"/>
          <w:cols w:space="720"/>
        </w:sectPr>
      </w:pPr>
    </w:p>
    <w:p w:rsidR="001C66B0" w:rsidRDefault="00D005FC">
      <w:pPr>
        <w:jc w:val="center"/>
      </w:pPr>
      <w:r>
        <w:rPr>
          <w:rFonts w:hint="eastAsia"/>
        </w:rPr>
        <w:lastRenderedPageBreak/>
        <w:t>续</w:t>
      </w:r>
      <w:r>
        <w:rPr>
          <w:rFonts w:asciiTheme="minorEastAsia" w:hAnsiTheme="minorEastAsia" w:hint="eastAsia"/>
        </w:rPr>
        <w:t>表F</w:t>
      </w:r>
    </w:p>
    <w:tbl>
      <w:tblPr>
        <w:tblStyle w:val="TableNormal2"/>
        <w:tblpPr w:leftFromText="180" w:rightFromText="180" w:vertAnchor="text" w:horzAnchor="margin" w:tblpXSpec="center" w:tblpY="258"/>
        <w:tblW w:w="0" w:type="auto"/>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77"/>
        <w:gridCol w:w="2413"/>
        <w:gridCol w:w="3262"/>
      </w:tblGrid>
      <w:tr w:rsidR="001C66B0">
        <w:trPr>
          <w:trHeight w:val="489"/>
        </w:trPr>
        <w:tc>
          <w:tcPr>
            <w:tcW w:w="8652" w:type="dxa"/>
            <w:gridSpan w:val="3"/>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风险问题汇总</w:t>
            </w:r>
          </w:p>
        </w:tc>
      </w:tr>
      <w:tr w:rsidR="001C66B0">
        <w:trPr>
          <w:trHeight w:val="3597"/>
        </w:trPr>
        <w:tc>
          <w:tcPr>
            <w:tcW w:w="8652" w:type="dxa"/>
            <w:gridSpan w:val="3"/>
          </w:tcPr>
          <w:p w:rsidR="001C66B0" w:rsidRDefault="001C66B0">
            <w:pPr>
              <w:jc w:val="left"/>
              <w:rPr>
                <w:rFonts w:ascii="Times New Roman" w:eastAsia="宋体" w:hAnsi="宋体" w:cs="宋体"/>
                <w:kern w:val="0"/>
                <w:szCs w:val="21"/>
              </w:rPr>
            </w:pPr>
          </w:p>
        </w:tc>
      </w:tr>
      <w:tr w:rsidR="001C66B0">
        <w:trPr>
          <w:trHeight w:val="489"/>
        </w:trPr>
        <w:tc>
          <w:tcPr>
            <w:tcW w:w="8652" w:type="dxa"/>
            <w:gridSpan w:val="3"/>
          </w:tcPr>
          <w:p w:rsidR="001C66B0" w:rsidRDefault="00D005FC">
            <w:pPr>
              <w:spacing w:before="111"/>
              <w:ind w:left="107"/>
              <w:jc w:val="left"/>
              <w:rPr>
                <w:rFonts w:ascii="宋体" w:eastAsia="宋体" w:hAnsi="宋体" w:cs="宋体"/>
                <w:b/>
                <w:kern w:val="0"/>
                <w:szCs w:val="21"/>
              </w:rPr>
            </w:pPr>
            <w:r>
              <w:rPr>
                <w:rFonts w:ascii="宋体" w:eastAsia="宋体" w:hAnsi="宋体" w:cs="宋体"/>
                <w:b/>
                <w:kern w:val="0"/>
                <w:szCs w:val="21"/>
              </w:rPr>
              <w:t>结论及技术建议</w:t>
            </w:r>
          </w:p>
        </w:tc>
      </w:tr>
      <w:tr w:rsidR="001C66B0">
        <w:trPr>
          <w:trHeight w:val="3422"/>
        </w:trPr>
        <w:tc>
          <w:tcPr>
            <w:tcW w:w="8652" w:type="dxa"/>
            <w:gridSpan w:val="3"/>
          </w:tcPr>
          <w:p w:rsidR="001C66B0" w:rsidRDefault="001C66B0">
            <w:pPr>
              <w:jc w:val="left"/>
              <w:rPr>
                <w:rFonts w:ascii="Times New Roman" w:eastAsia="宋体" w:hAnsi="宋体" w:cs="宋体"/>
                <w:kern w:val="0"/>
                <w:szCs w:val="21"/>
              </w:rPr>
            </w:pPr>
          </w:p>
        </w:tc>
      </w:tr>
      <w:tr w:rsidR="001C66B0">
        <w:trPr>
          <w:trHeight w:val="489"/>
        </w:trPr>
        <w:tc>
          <w:tcPr>
            <w:tcW w:w="2977" w:type="dxa"/>
          </w:tcPr>
          <w:p w:rsidR="001C66B0" w:rsidRDefault="00D005FC">
            <w:pPr>
              <w:spacing w:before="114"/>
              <w:ind w:left="107"/>
              <w:jc w:val="left"/>
              <w:rPr>
                <w:rFonts w:ascii="宋体" w:eastAsia="宋体" w:hAnsi="宋体" w:cs="宋体"/>
                <w:kern w:val="0"/>
                <w:szCs w:val="21"/>
              </w:rPr>
            </w:pPr>
            <w:r>
              <w:rPr>
                <w:rFonts w:ascii="宋体" w:eastAsia="宋体" w:hAnsi="宋体" w:cs="宋体"/>
                <w:kern w:val="0"/>
                <w:szCs w:val="21"/>
              </w:rPr>
              <w:t>编制人</w:t>
            </w:r>
          </w:p>
        </w:tc>
        <w:tc>
          <w:tcPr>
            <w:tcW w:w="2413" w:type="dxa"/>
          </w:tcPr>
          <w:p w:rsidR="001C66B0" w:rsidRDefault="00D005FC">
            <w:pPr>
              <w:spacing w:before="114"/>
              <w:ind w:left="107"/>
              <w:jc w:val="left"/>
              <w:rPr>
                <w:rFonts w:ascii="宋体" w:eastAsia="宋体" w:hAnsi="宋体" w:cs="宋体"/>
                <w:kern w:val="0"/>
                <w:szCs w:val="21"/>
              </w:rPr>
            </w:pPr>
            <w:r>
              <w:rPr>
                <w:rFonts w:ascii="宋体" w:eastAsia="宋体" w:hAnsi="宋体" w:cs="宋体"/>
                <w:kern w:val="0"/>
                <w:szCs w:val="21"/>
              </w:rPr>
              <w:t>审核人</w:t>
            </w:r>
          </w:p>
        </w:tc>
        <w:tc>
          <w:tcPr>
            <w:tcW w:w="3262" w:type="dxa"/>
          </w:tcPr>
          <w:p w:rsidR="001C66B0" w:rsidRDefault="00D005FC">
            <w:pPr>
              <w:spacing w:before="114"/>
              <w:ind w:left="104"/>
              <w:jc w:val="left"/>
              <w:rPr>
                <w:rFonts w:ascii="宋体" w:eastAsia="宋体" w:hAnsi="宋体" w:cs="宋体"/>
                <w:kern w:val="0"/>
                <w:szCs w:val="21"/>
              </w:rPr>
            </w:pPr>
            <w:r>
              <w:rPr>
                <w:rFonts w:ascii="宋体" w:eastAsia="宋体" w:hAnsi="宋体" w:cs="宋体"/>
                <w:kern w:val="0"/>
                <w:szCs w:val="21"/>
              </w:rPr>
              <w:t>批准人</w:t>
            </w:r>
          </w:p>
        </w:tc>
      </w:tr>
      <w:tr w:rsidR="001C66B0">
        <w:trPr>
          <w:trHeight w:val="1468"/>
        </w:trPr>
        <w:tc>
          <w:tcPr>
            <w:tcW w:w="2977" w:type="dxa"/>
          </w:tcPr>
          <w:p w:rsidR="001C66B0" w:rsidRDefault="00D005FC">
            <w:pPr>
              <w:spacing w:before="111" w:line="436" w:lineRule="auto"/>
              <w:ind w:left="107" w:right="1660"/>
              <w:jc w:val="left"/>
              <w:rPr>
                <w:rFonts w:ascii="宋体" w:eastAsia="宋体" w:hAnsi="宋体" w:cs="宋体"/>
                <w:spacing w:val="-1"/>
                <w:kern w:val="0"/>
                <w:szCs w:val="21"/>
              </w:rPr>
            </w:pPr>
            <w:r>
              <w:rPr>
                <w:rFonts w:ascii="宋体" w:eastAsia="宋体" w:hAnsi="宋体" w:cs="宋体"/>
                <w:spacing w:val="-1"/>
                <w:kern w:val="0"/>
                <w:szCs w:val="21"/>
              </w:rPr>
              <w:t>姓名：</w:t>
            </w:r>
          </w:p>
          <w:p w:rsidR="001C66B0" w:rsidRDefault="00D005FC">
            <w:pPr>
              <w:spacing w:before="111" w:line="436" w:lineRule="auto"/>
              <w:ind w:left="107" w:right="1660"/>
              <w:jc w:val="left"/>
              <w:rPr>
                <w:rFonts w:ascii="宋体" w:eastAsia="宋体" w:hAnsi="宋体" w:cs="宋体"/>
                <w:spacing w:val="-1"/>
                <w:kern w:val="0"/>
                <w:szCs w:val="21"/>
              </w:rPr>
            </w:pPr>
            <w:r>
              <w:rPr>
                <w:rFonts w:ascii="宋体" w:eastAsia="宋体" w:hAnsi="宋体" w:cs="宋体"/>
                <w:spacing w:val="-1"/>
                <w:kern w:val="0"/>
                <w:szCs w:val="21"/>
              </w:rPr>
              <w:t>日期：</w:t>
            </w:r>
          </w:p>
        </w:tc>
        <w:tc>
          <w:tcPr>
            <w:tcW w:w="2413" w:type="dxa"/>
          </w:tcPr>
          <w:p w:rsidR="001C66B0" w:rsidRDefault="00D005FC">
            <w:pPr>
              <w:spacing w:before="111" w:line="436" w:lineRule="auto"/>
              <w:ind w:left="107" w:right="1660"/>
              <w:jc w:val="left"/>
              <w:rPr>
                <w:rFonts w:ascii="宋体" w:eastAsia="宋体" w:hAnsi="宋体" w:cs="宋体"/>
                <w:spacing w:val="-1"/>
                <w:kern w:val="0"/>
                <w:szCs w:val="21"/>
              </w:rPr>
            </w:pPr>
            <w:r>
              <w:rPr>
                <w:rFonts w:ascii="宋体" w:eastAsia="宋体" w:hAnsi="宋体" w:cs="宋体"/>
                <w:spacing w:val="-1"/>
                <w:kern w:val="0"/>
                <w:szCs w:val="21"/>
              </w:rPr>
              <w:t>姓名：日期：</w:t>
            </w:r>
          </w:p>
        </w:tc>
        <w:tc>
          <w:tcPr>
            <w:tcW w:w="3262" w:type="dxa"/>
          </w:tcPr>
          <w:p w:rsidR="001C66B0" w:rsidRDefault="00D005FC">
            <w:pPr>
              <w:spacing w:before="111" w:line="436" w:lineRule="auto"/>
              <w:ind w:left="107" w:right="1660"/>
              <w:jc w:val="left"/>
              <w:rPr>
                <w:rFonts w:ascii="宋体" w:eastAsia="宋体" w:hAnsi="宋体" w:cs="宋体"/>
                <w:spacing w:val="-1"/>
                <w:kern w:val="0"/>
                <w:szCs w:val="21"/>
              </w:rPr>
            </w:pPr>
            <w:r>
              <w:rPr>
                <w:rFonts w:ascii="宋体" w:eastAsia="宋体" w:hAnsi="宋体" w:cs="宋体"/>
                <w:spacing w:val="-1"/>
                <w:kern w:val="0"/>
                <w:szCs w:val="21"/>
              </w:rPr>
              <w:t>姓名：</w:t>
            </w:r>
          </w:p>
          <w:p w:rsidR="001C66B0" w:rsidRDefault="00D005FC">
            <w:pPr>
              <w:spacing w:before="111" w:line="436" w:lineRule="auto"/>
              <w:ind w:left="107" w:right="1660"/>
              <w:jc w:val="left"/>
              <w:rPr>
                <w:rFonts w:ascii="宋体" w:eastAsia="宋体" w:hAnsi="宋体" w:cs="宋体"/>
                <w:kern w:val="0"/>
                <w:szCs w:val="21"/>
              </w:rPr>
            </w:pPr>
            <w:r>
              <w:rPr>
                <w:rFonts w:ascii="宋体" w:eastAsia="宋体" w:hAnsi="宋体" w:cs="宋体"/>
                <w:spacing w:val="-1"/>
                <w:kern w:val="0"/>
                <w:szCs w:val="21"/>
              </w:rPr>
              <w:t>日期：</w:t>
            </w:r>
          </w:p>
          <w:p w:rsidR="001C66B0" w:rsidRDefault="00D005FC">
            <w:pPr>
              <w:ind w:left="104"/>
              <w:jc w:val="left"/>
              <w:rPr>
                <w:rFonts w:ascii="宋体" w:eastAsia="宋体" w:hAnsi="宋体" w:cs="宋体"/>
                <w:kern w:val="0"/>
                <w:szCs w:val="21"/>
              </w:rPr>
            </w:pPr>
            <w:r>
              <w:rPr>
                <w:rFonts w:ascii="宋体" w:eastAsia="宋体" w:hAnsi="宋体" w:cs="宋体"/>
                <w:kern w:val="0"/>
                <w:szCs w:val="21"/>
              </w:rPr>
              <w:t>公司签章：</w:t>
            </w:r>
          </w:p>
        </w:tc>
      </w:tr>
    </w:tbl>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bCs/>
        </w:rPr>
      </w:pPr>
    </w:p>
    <w:p w:rsidR="001C66B0" w:rsidRDefault="001C66B0">
      <w:pPr>
        <w:rPr>
          <w:rFonts w:asciiTheme="minorEastAsia" w:hAnsiTheme="minorEastAsia" w:cstheme="minorEastAsia"/>
          <w:b/>
          <w:bCs/>
        </w:rPr>
      </w:pPr>
    </w:p>
    <w:p w:rsidR="001C66B0" w:rsidRDefault="001C66B0">
      <w:pPr>
        <w:rPr>
          <w:rFonts w:asciiTheme="minorEastAsia" w:hAnsiTheme="minorEastAsia" w:cstheme="minorEastAsia"/>
          <w:b/>
          <w:bCs/>
        </w:rPr>
      </w:pPr>
    </w:p>
    <w:p w:rsidR="001C66B0" w:rsidRDefault="00D005FC">
      <w:pPr>
        <w:tabs>
          <w:tab w:val="left" w:pos="142"/>
        </w:tabs>
        <w:spacing w:line="360" w:lineRule="auto"/>
        <w:ind w:rightChars="-34" w:right="-71"/>
        <w:jc w:val="center"/>
        <w:outlineLvl w:val="0"/>
        <w:rPr>
          <w:rFonts w:asciiTheme="minorEastAsia" w:hAnsiTheme="minorEastAsia" w:cstheme="minorEastAsia"/>
          <w:b/>
          <w:bCs/>
        </w:rPr>
      </w:pPr>
      <w:bookmarkStart w:id="81" w:name="_Toc176713682"/>
      <w:r>
        <w:rPr>
          <w:rFonts w:asciiTheme="minorEastAsia" w:hAnsiTheme="minorEastAsia" w:cstheme="minorEastAsia" w:hint="eastAsia"/>
          <w:b/>
          <w:bCs/>
        </w:rPr>
        <w:t>附录</w:t>
      </w:r>
      <w:r>
        <w:rPr>
          <w:rFonts w:asciiTheme="minorEastAsia" w:hAnsiTheme="minorEastAsia" w:cstheme="minorEastAsia"/>
          <w:b/>
          <w:bCs/>
        </w:rPr>
        <w:t>G</w:t>
      </w:r>
      <w:bookmarkStart w:id="82" w:name="_Hlk105295552"/>
      <w:r>
        <w:rPr>
          <w:rFonts w:asciiTheme="minorEastAsia" w:hAnsiTheme="minorEastAsia" w:cstheme="minorEastAsia" w:hint="eastAsia"/>
          <w:b/>
          <w:bCs/>
        </w:rPr>
        <w:t xml:space="preserve"> 质量/安全问题清单参考模板</w:t>
      </w:r>
      <w:bookmarkEnd w:id="81"/>
      <w:bookmarkEnd w:id="82"/>
    </w:p>
    <w:p w:rsidR="001C66B0" w:rsidRDefault="00D005FC">
      <w:pPr>
        <w:rPr>
          <w:rFonts w:asciiTheme="minorEastAsia" w:hAnsiTheme="minorEastAsia"/>
          <w:bCs/>
        </w:rPr>
      </w:pPr>
      <w:r>
        <w:rPr>
          <w:rFonts w:hint="eastAsia"/>
          <w:bCs/>
        </w:rPr>
        <w:t>质量</w:t>
      </w:r>
      <w:r>
        <w:rPr>
          <w:rFonts w:hint="eastAsia"/>
          <w:bCs/>
        </w:rPr>
        <w:t>/</w:t>
      </w:r>
      <w:r>
        <w:rPr>
          <w:rFonts w:hint="eastAsia"/>
          <w:bCs/>
        </w:rPr>
        <w:t>安全问题清单参考模板见</w:t>
      </w:r>
      <w:r>
        <w:rPr>
          <w:rFonts w:asciiTheme="minorEastAsia" w:hAnsiTheme="minorEastAsia" w:hint="eastAsia"/>
          <w:bCs/>
        </w:rPr>
        <w:t>表G。</w:t>
      </w:r>
    </w:p>
    <w:p w:rsidR="001C66B0" w:rsidRDefault="001C66B0">
      <w:pPr>
        <w:rPr>
          <w:bCs/>
        </w:rPr>
      </w:pPr>
    </w:p>
    <w:p w:rsidR="001C66B0" w:rsidRDefault="00D005FC">
      <w:pPr>
        <w:spacing w:line="360" w:lineRule="auto"/>
        <w:jc w:val="center"/>
        <w:rPr>
          <w:rFonts w:asciiTheme="minorEastAsia" w:hAnsiTheme="minorEastAsia" w:cstheme="minorEastAsia"/>
          <w:b/>
          <w:bCs/>
        </w:rPr>
      </w:pPr>
      <w:r>
        <w:rPr>
          <w:rFonts w:asciiTheme="minorEastAsia" w:hAnsiTheme="minorEastAsia" w:hint="eastAsia"/>
          <w:b/>
        </w:rPr>
        <w:t>表G</w:t>
      </w:r>
      <w:r>
        <w:rPr>
          <w:rFonts w:asciiTheme="minorEastAsia" w:hAnsiTheme="minorEastAsia"/>
          <w:b/>
        </w:rPr>
        <w:t xml:space="preserve"> </w:t>
      </w:r>
      <w:r>
        <w:rPr>
          <w:rFonts w:asciiTheme="minorEastAsia" w:hAnsiTheme="minorEastAsia" w:hint="eastAsia"/>
          <w:b/>
        </w:rPr>
        <w:t>质量/安全问题清单</w:t>
      </w:r>
    </w:p>
    <w:p w:rsidR="001C66B0" w:rsidRDefault="00D005FC" w:rsidP="00D005FC">
      <w:pPr>
        <w:widowControl/>
        <w:spacing w:beforeLines="50"/>
        <w:jc w:val="center"/>
        <w:rPr>
          <w:rFonts w:ascii="宋体" w:eastAsia="宋体" w:hAnsi="宋体" w:cstheme="minorEastAsia"/>
          <w:bCs/>
          <w:szCs w:val="21"/>
        </w:rPr>
      </w:pPr>
      <w:r>
        <w:rPr>
          <w:rFonts w:ascii="宋体" w:eastAsia="宋体" w:hAnsi="宋体" w:hint="eastAsia"/>
          <w:bCs/>
          <w:color w:val="000000"/>
          <w:szCs w:val="21"/>
        </w:rPr>
        <w:t>（</w:t>
      </w:r>
      <w:r>
        <w:rPr>
          <w:rFonts w:ascii="宋体" w:eastAsia="宋体" w:hAnsi="宋体" w:hint="eastAsia"/>
          <w:szCs w:val="21"/>
        </w:rPr>
        <w:t xml:space="preserve">编号： </w:t>
      </w:r>
      <w:r>
        <w:rPr>
          <w:rFonts w:ascii="宋体" w:eastAsia="宋体" w:hAnsi="宋体"/>
          <w:szCs w:val="21"/>
        </w:rPr>
        <w:t xml:space="preserve"> </w:t>
      </w:r>
      <w:r>
        <w:rPr>
          <w:rFonts w:ascii="宋体" w:eastAsia="宋体" w:hAnsi="宋体" w:hint="eastAsia"/>
          <w:szCs w:val="21"/>
        </w:rPr>
        <w:t>）</w:t>
      </w:r>
    </w:p>
    <w:tbl>
      <w:tblPr>
        <w:tblStyle w:val="TableNormal"/>
        <w:tblW w:w="5123" w:type="pct"/>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56"/>
        <w:gridCol w:w="6"/>
        <w:gridCol w:w="1561"/>
        <w:gridCol w:w="1138"/>
        <w:gridCol w:w="1134"/>
        <w:gridCol w:w="1561"/>
        <w:gridCol w:w="1277"/>
        <w:gridCol w:w="709"/>
        <w:gridCol w:w="987"/>
      </w:tblGrid>
      <w:tr w:rsidR="001C66B0">
        <w:trPr>
          <w:trHeight w:val="502"/>
          <w:jc w:val="center"/>
        </w:trPr>
        <w:tc>
          <w:tcPr>
            <w:tcW w:w="607" w:type="pct"/>
            <w:vAlign w:val="center"/>
          </w:tcPr>
          <w:p w:rsidR="001C66B0" w:rsidRDefault="00D005FC">
            <w:pPr>
              <w:widowControl/>
              <w:jc w:val="center"/>
              <w:rPr>
                <w:rFonts w:asciiTheme="minorEastAsia" w:hAnsiTheme="minorEastAsia"/>
                <w:bCs/>
                <w:color w:val="000000"/>
                <w:szCs w:val="21"/>
              </w:rPr>
            </w:pPr>
            <w:r>
              <w:rPr>
                <w:rFonts w:asciiTheme="minorEastAsia" w:hAnsiTheme="minorEastAsia" w:hint="eastAsia"/>
                <w:bCs/>
                <w:color w:val="000000"/>
                <w:szCs w:val="21"/>
              </w:rPr>
              <w:t>项目名称</w:t>
            </w:r>
          </w:p>
        </w:tc>
        <w:tc>
          <w:tcPr>
            <w:tcW w:w="4393" w:type="pct"/>
            <w:gridSpan w:val="8"/>
            <w:vAlign w:val="center"/>
          </w:tcPr>
          <w:p w:rsidR="001C66B0" w:rsidRDefault="001C66B0">
            <w:pPr>
              <w:widowControl/>
              <w:ind w:leftChars="63" w:left="132"/>
              <w:jc w:val="center"/>
              <w:rPr>
                <w:rFonts w:asciiTheme="minorEastAsia" w:hAnsiTheme="minorEastAsia"/>
                <w:bCs/>
                <w:color w:val="000000"/>
                <w:szCs w:val="21"/>
              </w:rPr>
            </w:pPr>
          </w:p>
        </w:tc>
      </w:tr>
      <w:tr w:rsidR="001C66B0">
        <w:trPr>
          <w:trHeight w:val="595"/>
          <w:jc w:val="center"/>
        </w:trPr>
        <w:tc>
          <w:tcPr>
            <w:tcW w:w="607" w:type="pct"/>
            <w:vAlign w:val="center"/>
          </w:tcPr>
          <w:p w:rsidR="001C66B0" w:rsidRDefault="00D005FC">
            <w:pPr>
              <w:widowControl/>
              <w:jc w:val="center"/>
              <w:rPr>
                <w:rFonts w:asciiTheme="minorEastAsia" w:hAnsiTheme="minorEastAsia"/>
                <w:bCs/>
                <w:color w:val="000000"/>
                <w:szCs w:val="21"/>
              </w:rPr>
            </w:pPr>
            <w:r>
              <w:rPr>
                <w:rFonts w:asciiTheme="minorEastAsia" w:hAnsiTheme="minorEastAsia" w:hint="eastAsia"/>
                <w:bCs/>
                <w:color w:val="000000"/>
                <w:szCs w:val="21"/>
              </w:rPr>
              <w:t>检查人员</w:t>
            </w:r>
          </w:p>
        </w:tc>
        <w:tc>
          <w:tcPr>
            <w:tcW w:w="2013" w:type="pct"/>
            <w:gridSpan w:val="4"/>
            <w:vAlign w:val="center"/>
          </w:tcPr>
          <w:p w:rsidR="001C66B0" w:rsidRDefault="001C66B0">
            <w:pPr>
              <w:widowControl/>
              <w:ind w:leftChars="63" w:left="132"/>
              <w:jc w:val="center"/>
              <w:rPr>
                <w:rFonts w:asciiTheme="minorEastAsia" w:hAnsiTheme="minorEastAsia"/>
                <w:color w:val="000000"/>
                <w:szCs w:val="21"/>
              </w:rPr>
            </w:pPr>
          </w:p>
        </w:tc>
        <w:tc>
          <w:tcPr>
            <w:tcW w:w="819" w:type="pct"/>
            <w:vAlign w:val="center"/>
          </w:tcPr>
          <w:p w:rsidR="001C66B0" w:rsidRDefault="00D005FC">
            <w:pPr>
              <w:widowControl/>
              <w:ind w:leftChars="63" w:left="132" w:rightChars="58" w:right="122"/>
              <w:jc w:val="center"/>
              <w:rPr>
                <w:rFonts w:asciiTheme="minorEastAsia" w:hAnsiTheme="minorEastAsia"/>
                <w:bCs/>
                <w:color w:val="000000"/>
                <w:szCs w:val="21"/>
              </w:rPr>
            </w:pPr>
            <w:r>
              <w:rPr>
                <w:rFonts w:asciiTheme="minorEastAsia" w:hAnsiTheme="minorEastAsia" w:hint="eastAsia"/>
                <w:bCs/>
                <w:color w:val="000000"/>
                <w:szCs w:val="21"/>
              </w:rPr>
              <w:t>检查时间</w:t>
            </w:r>
          </w:p>
        </w:tc>
        <w:tc>
          <w:tcPr>
            <w:tcW w:w="1562" w:type="pct"/>
            <w:gridSpan w:val="3"/>
            <w:vAlign w:val="center"/>
          </w:tcPr>
          <w:p w:rsidR="001C66B0" w:rsidRDefault="001C66B0">
            <w:pPr>
              <w:widowControl/>
              <w:ind w:leftChars="63" w:left="132"/>
              <w:jc w:val="center"/>
              <w:rPr>
                <w:rFonts w:asciiTheme="minorEastAsia" w:hAnsiTheme="minorEastAsia"/>
                <w:bCs/>
                <w:color w:val="000000"/>
                <w:szCs w:val="21"/>
              </w:rPr>
            </w:pPr>
          </w:p>
        </w:tc>
      </w:tr>
      <w:tr w:rsidR="001C66B0">
        <w:trPr>
          <w:trHeight w:val="613"/>
          <w:jc w:val="center"/>
        </w:trPr>
        <w:tc>
          <w:tcPr>
            <w:tcW w:w="610" w:type="pct"/>
            <w:gridSpan w:val="2"/>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问题编号</w:t>
            </w:r>
          </w:p>
        </w:tc>
        <w:tc>
          <w:tcPr>
            <w:tcW w:w="819"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问题</w:t>
            </w:r>
            <w:r>
              <w:rPr>
                <w:rFonts w:asciiTheme="minorEastAsia" w:eastAsiaTheme="minorEastAsia" w:hAnsiTheme="minorEastAsia"/>
                <w:sz w:val="21"/>
                <w:szCs w:val="21"/>
                <w:lang w:eastAsia="zh-CN"/>
              </w:rPr>
              <w:t>描述</w:t>
            </w:r>
          </w:p>
        </w:tc>
        <w:tc>
          <w:tcPr>
            <w:tcW w:w="597"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所在文件/</w:t>
            </w:r>
          </w:p>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图纸/部位</w:t>
            </w:r>
          </w:p>
        </w:tc>
        <w:tc>
          <w:tcPr>
            <w:tcW w:w="595"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原风险</w:t>
            </w:r>
          </w:p>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等级</w:t>
            </w:r>
          </w:p>
        </w:tc>
        <w:tc>
          <w:tcPr>
            <w:tcW w:w="819"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sz w:val="21"/>
                <w:szCs w:val="21"/>
                <w:lang w:eastAsia="zh-CN"/>
              </w:rPr>
              <w:t>纠正和预防建议</w:t>
            </w:r>
          </w:p>
        </w:tc>
        <w:tc>
          <w:tcPr>
            <w:tcW w:w="670"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整改回复</w:t>
            </w:r>
          </w:p>
        </w:tc>
        <w:tc>
          <w:tcPr>
            <w:tcW w:w="372"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现风险等级</w:t>
            </w:r>
          </w:p>
        </w:tc>
        <w:tc>
          <w:tcPr>
            <w:tcW w:w="521" w:type="pct"/>
            <w:vAlign w:val="center"/>
          </w:tcPr>
          <w:p w:rsidR="001C66B0" w:rsidRDefault="00D005FC">
            <w:pPr>
              <w:pStyle w:val="TableParagraph"/>
              <w:jc w:val="center"/>
              <w:rPr>
                <w:rFonts w:asciiTheme="minorEastAsia" w:eastAsiaTheme="minorEastAsia" w:hAnsiTheme="minorEastAsia"/>
                <w:sz w:val="21"/>
                <w:szCs w:val="21"/>
                <w:lang w:eastAsia="zh-CN"/>
              </w:rPr>
            </w:pPr>
            <w:r>
              <w:rPr>
                <w:rFonts w:asciiTheme="minorEastAsia" w:eastAsiaTheme="minorEastAsia" w:hAnsiTheme="minorEastAsia" w:hint="eastAsia"/>
                <w:sz w:val="21"/>
                <w:szCs w:val="21"/>
                <w:lang w:eastAsia="zh-CN"/>
              </w:rPr>
              <w:t>整改复核</w:t>
            </w:r>
          </w:p>
        </w:tc>
      </w:tr>
      <w:tr w:rsidR="001C66B0">
        <w:trPr>
          <w:trHeight w:val="613"/>
          <w:jc w:val="center"/>
        </w:trPr>
        <w:tc>
          <w:tcPr>
            <w:tcW w:w="610" w:type="pct"/>
            <w:gridSpan w:val="2"/>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7" w:type="pct"/>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595" w:type="pct"/>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670" w:type="pct"/>
            <w:vAlign w:val="center"/>
          </w:tcPr>
          <w:p w:rsidR="001C66B0" w:rsidRDefault="001C66B0">
            <w:pPr>
              <w:pStyle w:val="TableParagraph"/>
              <w:jc w:val="center"/>
              <w:rPr>
                <w:rFonts w:asciiTheme="minorEastAsia" w:eastAsiaTheme="minorEastAsia" w:hAnsiTheme="minorEastAsia"/>
                <w:bCs/>
                <w:color w:val="000000"/>
                <w:sz w:val="21"/>
                <w:szCs w:val="21"/>
                <w:lang w:eastAsia="zh-CN"/>
              </w:rPr>
            </w:pPr>
          </w:p>
        </w:tc>
        <w:tc>
          <w:tcPr>
            <w:tcW w:w="372" w:type="pct"/>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521" w:type="pct"/>
            <w:vAlign w:val="center"/>
          </w:tcPr>
          <w:p w:rsidR="001C66B0" w:rsidRDefault="001C66B0">
            <w:pPr>
              <w:pStyle w:val="TableParagraph"/>
              <w:jc w:val="center"/>
              <w:rPr>
                <w:rFonts w:asciiTheme="minorEastAsia" w:eastAsiaTheme="minorEastAsia" w:hAnsiTheme="minorEastAsia"/>
                <w:bCs/>
                <w:sz w:val="21"/>
                <w:szCs w:val="21"/>
                <w:lang w:eastAsia="zh-CN"/>
              </w:rPr>
            </w:pPr>
          </w:p>
        </w:tc>
      </w:tr>
      <w:tr w:rsidR="001C66B0">
        <w:trPr>
          <w:trHeight w:val="737"/>
          <w:jc w:val="center"/>
        </w:trPr>
        <w:tc>
          <w:tcPr>
            <w:tcW w:w="610" w:type="pct"/>
            <w:gridSpan w:val="2"/>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7" w:type="pct"/>
            <w:vAlign w:val="center"/>
          </w:tcPr>
          <w:p w:rsidR="001C66B0" w:rsidRDefault="001C66B0">
            <w:pPr>
              <w:pStyle w:val="TableParagraph"/>
              <w:jc w:val="center"/>
              <w:rPr>
                <w:rFonts w:asciiTheme="minorEastAsia" w:eastAsiaTheme="minorEastAsia" w:hAnsiTheme="minorEastAsia"/>
                <w:bCs/>
                <w:sz w:val="21"/>
                <w:szCs w:val="21"/>
              </w:rPr>
            </w:pPr>
          </w:p>
        </w:tc>
        <w:tc>
          <w:tcPr>
            <w:tcW w:w="595" w:type="pct"/>
            <w:vAlign w:val="center"/>
          </w:tcPr>
          <w:p w:rsidR="001C66B0" w:rsidRDefault="001C66B0">
            <w:pPr>
              <w:pStyle w:val="TableParagraph"/>
              <w:jc w:val="center"/>
              <w:rPr>
                <w:rFonts w:asciiTheme="minorEastAsia" w:eastAsiaTheme="minorEastAsia" w:hAnsiTheme="minorEastAsia"/>
                <w:color w:val="000000" w:themeColor="text1"/>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color w:val="000000" w:themeColor="text1"/>
                <w:sz w:val="21"/>
                <w:szCs w:val="21"/>
                <w:lang w:eastAsia="zh-CN"/>
              </w:rPr>
            </w:pPr>
          </w:p>
        </w:tc>
        <w:tc>
          <w:tcPr>
            <w:tcW w:w="670" w:type="pct"/>
            <w:vAlign w:val="center"/>
          </w:tcPr>
          <w:p w:rsidR="001C66B0" w:rsidRDefault="001C66B0">
            <w:pPr>
              <w:pStyle w:val="TableParagraph"/>
              <w:jc w:val="center"/>
              <w:rPr>
                <w:rFonts w:asciiTheme="minorEastAsia" w:eastAsiaTheme="minorEastAsia" w:hAnsiTheme="minorEastAsia"/>
                <w:bCs/>
                <w:color w:val="000000" w:themeColor="text1"/>
                <w:sz w:val="21"/>
                <w:szCs w:val="21"/>
                <w:lang w:eastAsia="zh-CN"/>
              </w:rPr>
            </w:pPr>
          </w:p>
        </w:tc>
        <w:tc>
          <w:tcPr>
            <w:tcW w:w="372" w:type="pct"/>
            <w:vAlign w:val="center"/>
          </w:tcPr>
          <w:p w:rsidR="001C66B0" w:rsidRDefault="001C66B0">
            <w:pPr>
              <w:pStyle w:val="TableParagraph"/>
              <w:jc w:val="center"/>
              <w:rPr>
                <w:rFonts w:asciiTheme="minorEastAsia" w:eastAsiaTheme="minorEastAsia" w:hAnsiTheme="minorEastAsia"/>
                <w:bCs/>
                <w:color w:val="FF0000"/>
                <w:sz w:val="21"/>
                <w:szCs w:val="21"/>
                <w:lang w:eastAsia="zh-CN"/>
              </w:rPr>
            </w:pPr>
          </w:p>
        </w:tc>
        <w:tc>
          <w:tcPr>
            <w:tcW w:w="521" w:type="pct"/>
            <w:vAlign w:val="center"/>
          </w:tcPr>
          <w:p w:rsidR="001C66B0" w:rsidRDefault="001C66B0">
            <w:pPr>
              <w:pStyle w:val="TableParagraph"/>
              <w:jc w:val="center"/>
              <w:rPr>
                <w:rFonts w:asciiTheme="minorEastAsia" w:eastAsiaTheme="minorEastAsia" w:hAnsiTheme="minorEastAsia"/>
                <w:bCs/>
                <w:color w:val="FF0000"/>
                <w:sz w:val="21"/>
                <w:szCs w:val="21"/>
                <w:lang w:eastAsia="zh-CN"/>
              </w:rPr>
            </w:pPr>
          </w:p>
        </w:tc>
      </w:tr>
      <w:tr w:rsidR="001C66B0">
        <w:trPr>
          <w:trHeight w:val="737"/>
          <w:jc w:val="center"/>
        </w:trPr>
        <w:tc>
          <w:tcPr>
            <w:tcW w:w="610" w:type="pct"/>
            <w:gridSpan w:val="2"/>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7"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5"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670" w:type="pct"/>
            <w:vAlign w:val="center"/>
          </w:tcPr>
          <w:p w:rsidR="001C66B0" w:rsidRDefault="001C66B0">
            <w:pPr>
              <w:pStyle w:val="TableParagraph"/>
              <w:jc w:val="center"/>
              <w:rPr>
                <w:rFonts w:asciiTheme="minorEastAsia" w:eastAsiaTheme="minorEastAsia" w:hAnsiTheme="minorEastAsia"/>
                <w:bCs/>
                <w:color w:val="000000"/>
                <w:sz w:val="21"/>
                <w:szCs w:val="21"/>
                <w:lang w:eastAsia="zh-CN"/>
              </w:rPr>
            </w:pPr>
          </w:p>
        </w:tc>
        <w:tc>
          <w:tcPr>
            <w:tcW w:w="372" w:type="pct"/>
            <w:vAlign w:val="center"/>
          </w:tcPr>
          <w:p w:rsidR="001C66B0" w:rsidRDefault="001C66B0">
            <w:pPr>
              <w:pStyle w:val="TableParagraph"/>
              <w:jc w:val="center"/>
              <w:rPr>
                <w:rFonts w:asciiTheme="minorEastAsia" w:eastAsiaTheme="minorEastAsia" w:hAnsiTheme="minorEastAsia"/>
                <w:color w:val="231F20"/>
                <w:sz w:val="21"/>
                <w:szCs w:val="21"/>
                <w:lang w:eastAsia="zh-CN"/>
              </w:rPr>
            </w:pPr>
          </w:p>
        </w:tc>
        <w:tc>
          <w:tcPr>
            <w:tcW w:w="521" w:type="pct"/>
            <w:vAlign w:val="center"/>
          </w:tcPr>
          <w:p w:rsidR="001C66B0" w:rsidRDefault="001C66B0">
            <w:pPr>
              <w:pStyle w:val="TableParagraph"/>
              <w:jc w:val="center"/>
              <w:rPr>
                <w:rFonts w:asciiTheme="minorEastAsia" w:eastAsiaTheme="minorEastAsia" w:hAnsiTheme="minorEastAsia"/>
                <w:color w:val="231F20"/>
                <w:sz w:val="21"/>
                <w:szCs w:val="21"/>
                <w:lang w:eastAsia="zh-CN"/>
              </w:rPr>
            </w:pPr>
          </w:p>
        </w:tc>
      </w:tr>
      <w:tr w:rsidR="001C66B0">
        <w:trPr>
          <w:trHeight w:val="737"/>
          <w:jc w:val="center"/>
        </w:trPr>
        <w:tc>
          <w:tcPr>
            <w:tcW w:w="610" w:type="pct"/>
            <w:gridSpan w:val="2"/>
            <w:vAlign w:val="center"/>
          </w:tcPr>
          <w:p w:rsidR="001C66B0" w:rsidRDefault="001C66B0">
            <w:pPr>
              <w:pStyle w:val="TableParagraph"/>
              <w:jc w:val="center"/>
              <w:rPr>
                <w:rFonts w:asciiTheme="minorEastAsia" w:eastAsiaTheme="minorEastAsia" w:hAnsiTheme="minorEastAsia"/>
                <w:bCs/>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7"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595"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819" w:type="pct"/>
            <w:vAlign w:val="center"/>
          </w:tcPr>
          <w:p w:rsidR="001C66B0" w:rsidRDefault="001C66B0">
            <w:pPr>
              <w:pStyle w:val="TableParagraph"/>
              <w:jc w:val="center"/>
              <w:rPr>
                <w:rFonts w:asciiTheme="minorEastAsia" w:eastAsiaTheme="minorEastAsia" w:hAnsiTheme="minorEastAsia"/>
                <w:sz w:val="21"/>
                <w:szCs w:val="21"/>
                <w:lang w:eastAsia="zh-CN"/>
              </w:rPr>
            </w:pPr>
          </w:p>
        </w:tc>
        <w:tc>
          <w:tcPr>
            <w:tcW w:w="670" w:type="pct"/>
            <w:vAlign w:val="center"/>
          </w:tcPr>
          <w:p w:rsidR="001C66B0" w:rsidRDefault="001C66B0">
            <w:pPr>
              <w:pStyle w:val="TableParagraph"/>
              <w:jc w:val="center"/>
              <w:rPr>
                <w:rFonts w:asciiTheme="minorEastAsia" w:eastAsiaTheme="minorEastAsia" w:hAnsiTheme="minorEastAsia"/>
                <w:bCs/>
                <w:color w:val="000000"/>
                <w:sz w:val="21"/>
                <w:szCs w:val="21"/>
                <w:lang w:eastAsia="zh-CN"/>
              </w:rPr>
            </w:pPr>
          </w:p>
        </w:tc>
        <w:tc>
          <w:tcPr>
            <w:tcW w:w="372" w:type="pct"/>
            <w:vAlign w:val="center"/>
          </w:tcPr>
          <w:p w:rsidR="001C66B0" w:rsidRDefault="001C66B0">
            <w:pPr>
              <w:pStyle w:val="TableParagraph"/>
              <w:jc w:val="center"/>
              <w:rPr>
                <w:rFonts w:asciiTheme="minorEastAsia" w:eastAsiaTheme="minorEastAsia" w:hAnsiTheme="minorEastAsia"/>
                <w:color w:val="231F20"/>
                <w:sz w:val="21"/>
                <w:szCs w:val="21"/>
                <w:lang w:eastAsia="zh-CN"/>
              </w:rPr>
            </w:pPr>
          </w:p>
        </w:tc>
        <w:tc>
          <w:tcPr>
            <w:tcW w:w="521" w:type="pct"/>
            <w:vAlign w:val="center"/>
          </w:tcPr>
          <w:p w:rsidR="001C66B0" w:rsidRDefault="001C66B0">
            <w:pPr>
              <w:pStyle w:val="TableParagraph"/>
              <w:jc w:val="center"/>
              <w:rPr>
                <w:rFonts w:asciiTheme="minorEastAsia" w:eastAsiaTheme="minorEastAsia" w:hAnsiTheme="minorEastAsia"/>
                <w:color w:val="231F20"/>
                <w:sz w:val="21"/>
                <w:szCs w:val="21"/>
                <w:lang w:eastAsia="zh-CN"/>
              </w:rPr>
            </w:pPr>
          </w:p>
        </w:tc>
      </w:tr>
    </w:tbl>
    <w:p w:rsidR="001C66B0" w:rsidRDefault="00D005FC">
      <w:pPr>
        <w:pStyle w:val="TableParagraph"/>
        <w:rPr>
          <w:sz w:val="21"/>
          <w:szCs w:val="21"/>
          <w:lang w:eastAsia="zh-CN"/>
        </w:rPr>
      </w:pPr>
      <w:r>
        <w:rPr>
          <w:rFonts w:hint="eastAsia"/>
          <w:sz w:val="21"/>
          <w:szCs w:val="21"/>
          <w:lang w:eastAsia="zh-CN"/>
        </w:rPr>
        <w:t>注：问题编号应根据问题类型、所处阶段等制定统一的编号规则，每个问题的编号应唯一，便于全过程追溯。</w:t>
      </w:r>
    </w:p>
    <w:p w:rsidR="001C66B0" w:rsidRDefault="00D005FC">
      <w:pPr>
        <w:autoSpaceDE w:val="0"/>
        <w:autoSpaceDN w:val="0"/>
        <w:spacing w:before="5" w:after="1"/>
        <w:jc w:val="left"/>
        <w:rPr>
          <w:rFonts w:ascii="宋体" w:eastAsia="宋体" w:hAnsi="宋体" w:cs="宋体"/>
          <w:b/>
          <w:kern w:val="0"/>
          <w:sz w:val="28"/>
          <w:szCs w:val="24"/>
        </w:rPr>
      </w:pPr>
      <w:r>
        <w:rPr>
          <w:rFonts w:ascii="宋体" w:eastAsia="宋体" w:hAnsi="宋体" w:cs="宋体"/>
          <w:b/>
          <w:kern w:val="0"/>
          <w:sz w:val="28"/>
          <w:szCs w:val="24"/>
        </w:rPr>
        <w:br w:type="page"/>
      </w:r>
    </w:p>
    <w:p w:rsidR="001C66B0" w:rsidRDefault="001C66B0">
      <w:pPr>
        <w:autoSpaceDE w:val="0"/>
        <w:autoSpaceDN w:val="0"/>
        <w:spacing w:before="5" w:after="1"/>
        <w:jc w:val="left"/>
        <w:rPr>
          <w:rFonts w:ascii="宋体" w:eastAsia="宋体" w:hAnsi="宋体" w:cs="宋体"/>
          <w:b/>
          <w:kern w:val="0"/>
          <w:sz w:val="28"/>
          <w:szCs w:val="24"/>
        </w:rPr>
      </w:pPr>
    </w:p>
    <w:p w:rsidR="001C66B0" w:rsidRDefault="00D005FC">
      <w:pPr>
        <w:tabs>
          <w:tab w:val="left" w:pos="142"/>
        </w:tabs>
        <w:spacing w:line="360" w:lineRule="auto"/>
        <w:ind w:rightChars="-34" w:right="-71"/>
        <w:jc w:val="center"/>
        <w:outlineLvl w:val="0"/>
        <w:rPr>
          <w:rFonts w:ascii="黑体" w:eastAsia="黑体" w:hAnsi="黑体" w:cstheme="minorEastAsia"/>
          <w:bCs/>
          <w:sz w:val="28"/>
          <w:szCs w:val="28"/>
        </w:rPr>
      </w:pPr>
      <w:bookmarkStart w:id="83" w:name="_Toc175255596"/>
      <w:bookmarkStart w:id="84" w:name="_Toc176713683"/>
      <w:bookmarkStart w:id="85" w:name="_Toc175263846"/>
      <w:r>
        <w:rPr>
          <w:rFonts w:ascii="黑体" w:eastAsia="黑体" w:hAnsi="黑体" w:cstheme="minorEastAsia" w:hint="eastAsia"/>
          <w:bCs/>
          <w:sz w:val="28"/>
          <w:szCs w:val="28"/>
        </w:rPr>
        <w:t>本规范用词说明</w:t>
      </w:r>
      <w:bookmarkEnd w:id="83"/>
      <w:bookmarkEnd w:id="84"/>
      <w:bookmarkEnd w:id="85"/>
    </w:p>
    <w:p w:rsidR="001C66B0" w:rsidRDefault="001C66B0">
      <w:pPr>
        <w:autoSpaceDE w:val="0"/>
        <w:autoSpaceDN w:val="0"/>
        <w:spacing w:before="5" w:after="1"/>
        <w:jc w:val="center"/>
        <w:rPr>
          <w:rFonts w:ascii="黑体" w:eastAsia="黑体" w:hAnsi="黑体" w:cs="宋体"/>
          <w:kern w:val="0"/>
          <w:sz w:val="28"/>
          <w:szCs w:val="24"/>
        </w:rPr>
      </w:pPr>
    </w:p>
    <w:p w:rsidR="001C66B0" w:rsidRDefault="00D005FC">
      <w:pPr>
        <w:autoSpaceDE w:val="0"/>
        <w:autoSpaceDN w:val="0"/>
        <w:spacing w:before="5" w:after="1"/>
        <w:jc w:val="left"/>
        <w:rPr>
          <w:rFonts w:ascii="宋体" w:eastAsia="宋体" w:hAnsi="宋体" w:cs="宋体"/>
          <w:kern w:val="0"/>
          <w:szCs w:val="21"/>
        </w:rPr>
      </w:pPr>
      <w:r>
        <w:rPr>
          <w:rFonts w:ascii="宋体" w:eastAsia="宋体" w:hAnsi="宋体" w:cs="宋体" w:hint="eastAsia"/>
          <w:b/>
          <w:kern w:val="0"/>
          <w:szCs w:val="21"/>
        </w:rPr>
        <w:t>1</w:t>
      </w:r>
      <w:r>
        <w:rPr>
          <w:rFonts w:ascii="宋体" w:eastAsia="宋体" w:hAnsi="宋体" w:cs="宋体" w:hint="eastAsia"/>
          <w:kern w:val="0"/>
          <w:szCs w:val="21"/>
        </w:rPr>
        <w:t xml:space="preserve"> 为了便于在执行本规范条文时区别对待，对要求严格程度不同的用词说明如下：</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1) 表示很严格，非这样做不可的：</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正面词采用“必须”,反面词采用“严禁”；</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2) 表示严格，在正常情况下均应这样做的：</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正面词采用“应”，反面词采用“不应”或“不得”；</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3) 表示允许稍有选择，在条件许可时首先应这样做的：</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正面词采用“宜”，反面词采用“不宜；</w:t>
      </w:r>
    </w:p>
    <w:p w:rsidR="001C66B0" w:rsidRDefault="00D005FC">
      <w:pPr>
        <w:autoSpaceDE w:val="0"/>
        <w:autoSpaceDN w:val="0"/>
        <w:spacing w:before="5" w:after="1"/>
        <w:ind w:firstLineChars="200" w:firstLine="420"/>
        <w:jc w:val="left"/>
        <w:rPr>
          <w:rFonts w:ascii="宋体" w:eastAsia="宋体" w:hAnsi="宋体" w:cs="宋体"/>
          <w:kern w:val="0"/>
          <w:szCs w:val="21"/>
        </w:rPr>
      </w:pPr>
      <w:r>
        <w:rPr>
          <w:rFonts w:ascii="宋体" w:eastAsia="宋体" w:hAnsi="宋体" w:cs="宋体" w:hint="eastAsia"/>
          <w:kern w:val="0"/>
          <w:szCs w:val="21"/>
        </w:rPr>
        <w:t>4) 表示有选择,在一定条件下可以这样做的，采用“可”。</w:t>
      </w:r>
    </w:p>
    <w:p w:rsidR="001C66B0" w:rsidRDefault="00D005FC">
      <w:pPr>
        <w:autoSpaceDE w:val="0"/>
        <w:autoSpaceDN w:val="0"/>
        <w:spacing w:before="5" w:after="1"/>
        <w:jc w:val="left"/>
        <w:rPr>
          <w:rFonts w:ascii="宋体" w:eastAsia="宋体" w:hAnsi="宋体" w:cs="宋体"/>
          <w:kern w:val="0"/>
          <w:szCs w:val="21"/>
        </w:rPr>
      </w:pPr>
      <w:r>
        <w:rPr>
          <w:rFonts w:ascii="宋体" w:eastAsia="宋体" w:hAnsi="宋体" w:cs="宋体" w:hint="eastAsia"/>
          <w:b/>
          <w:kern w:val="0"/>
          <w:szCs w:val="21"/>
        </w:rPr>
        <w:t xml:space="preserve">2 </w:t>
      </w:r>
      <w:r>
        <w:rPr>
          <w:rFonts w:ascii="宋体" w:eastAsia="宋体" w:hAnsi="宋体" w:cs="宋体" w:hint="eastAsia"/>
          <w:kern w:val="0"/>
          <w:szCs w:val="21"/>
        </w:rPr>
        <w:t>条文中指明应按其他有关标准执行的写法为：“应符合......的规定”或“应按……执行”。</w:t>
      </w: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1C66B0">
      <w:pPr>
        <w:tabs>
          <w:tab w:val="left" w:pos="142"/>
        </w:tabs>
        <w:spacing w:line="360" w:lineRule="auto"/>
        <w:ind w:rightChars="-34" w:right="-71"/>
        <w:jc w:val="center"/>
        <w:rPr>
          <w:rFonts w:ascii="华文中宋" w:eastAsia="华文中宋" w:hAnsi="华文中宋" w:cs="Times New Roman"/>
          <w:bCs/>
          <w:sz w:val="40"/>
          <w:szCs w:val="48"/>
        </w:rPr>
      </w:pPr>
    </w:p>
    <w:p w:rsidR="001C66B0" w:rsidRDefault="00D005FC">
      <w:pPr>
        <w:tabs>
          <w:tab w:val="left" w:pos="142"/>
        </w:tabs>
        <w:spacing w:line="360" w:lineRule="auto"/>
        <w:ind w:rightChars="-34" w:right="-71"/>
        <w:jc w:val="center"/>
        <w:rPr>
          <w:rFonts w:asciiTheme="minorEastAsia" w:hAnsiTheme="minorEastAsia" w:cs="Times New Roman"/>
          <w:bCs/>
          <w:sz w:val="40"/>
          <w:szCs w:val="48"/>
        </w:rPr>
      </w:pPr>
      <w:r>
        <w:rPr>
          <w:rFonts w:asciiTheme="minorEastAsia" w:hAnsiTheme="minorEastAsia" w:cs="Times New Roman" w:hint="eastAsia"/>
          <w:bCs/>
          <w:sz w:val="40"/>
          <w:szCs w:val="48"/>
        </w:rPr>
        <w:t>中国建筑学会标准</w:t>
      </w:r>
    </w:p>
    <w:p w:rsidR="001C66B0" w:rsidRDefault="001C66B0">
      <w:pPr>
        <w:tabs>
          <w:tab w:val="left" w:pos="142"/>
        </w:tabs>
        <w:spacing w:line="360" w:lineRule="auto"/>
        <w:ind w:rightChars="-34" w:right="-71"/>
        <w:jc w:val="center"/>
        <w:rPr>
          <w:rFonts w:asciiTheme="minorEastAsia" w:hAnsiTheme="minorEastAsia" w:cs="Times New Roman"/>
          <w:bCs/>
          <w:sz w:val="40"/>
          <w:szCs w:val="48"/>
        </w:rPr>
      </w:pPr>
    </w:p>
    <w:p w:rsidR="001C66B0" w:rsidRDefault="00D005FC">
      <w:pPr>
        <w:tabs>
          <w:tab w:val="left" w:pos="142"/>
        </w:tabs>
        <w:spacing w:line="360" w:lineRule="auto"/>
        <w:ind w:rightChars="-34" w:right="-71"/>
        <w:jc w:val="center"/>
        <w:rPr>
          <w:rFonts w:asciiTheme="minorEastAsia" w:hAnsiTheme="minorEastAsia" w:cs="Times New Roman"/>
          <w:b/>
          <w:bCs/>
          <w:sz w:val="40"/>
          <w:szCs w:val="96"/>
        </w:rPr>
      </w:pPr>
      <w:r>
        <w:rPr>
          <w:rFonts w:asciiTheme="minorEastAsia" w:hAnsiTheme="minorEastAsia" w:cs="Times New Roman"/>
          <w:b/>
          <w:bCs/>
          <w:sz w:val="40"/>
          <w:szCs w:val="96"/>
        </w:rPr>
        <w:t>建筑工程</w:t>
      </w:r>
      <w:r>
        <w:rPr>
          <w:rFonts w:asciiTheme="minorEastAsia" w:hAnsiTheme="minorEastAsia" w:cs="Times New Roman" w:hint="eastAsia"/>
          <w:b/>
          <w:bCs/>
          <w:sz w:val="40"/>
          <w:szCs w:val="96"/>
        </w:rPr>
        <w:t>质量安全综合保险风险管理标准</w:t>
      </w:r>
    </w:p>
    <w:p w:rsidR="001C66B0" w:rsidRDefault="00D005FC">
      <w:pPr>
        <w:ind w:right="480"/>
        <w:jc w:val="center"/>
        <w:rPr>
          <w:rFonts w:asciiTheme="minorEastAsia" w:hAnsiTheme="minorEastAsia" w:cs="Times New Roman"/>
          <w:sz w:val="24"/>
        </w:rPr>
      </w:pPr>
      <w:r>
        <w:rPr>
          <w:rFonts w:asciiTheme="minorEastAsia" w:hAnsiTheme="minorEastAsia" w:cs="Times New Roman"/>
          <w:sz w:val="24"/>
        </w:rPr>
        <w:t>T/ASC XXXX—2024</w:t>
      </w:r>
    </w:p>
    <w:p w:rsidR="001C66B0" w:rsidRDefault="001C66B0">
      <w:pPr>
        <w:rPr>
          <w:rFonts w:asciiTheme="minorEastAsia" w:hAnsiTheme="minorEastAsia"/>
        </w:rPr>
      </w:pPr>
    </w:p>
    <w:p w:rsidR="001C66B0" w:rsidRDefault="001C66B0">
      <w:pPr>
        <w:rPr>
          <w:rFonts w:asciiTheme="minorEastAsia" w:hAnsiTheme="minorEastAsia"/>
        </w:rPr>
      </w:pPr>
    </w:p>
    <w:p w:rsidR="001C66B0" w:rsidRDefault="00D005FC">
      <w:pPr>
        <w:pStyle w:val="1"/>
        <w:numPr>
          <w:ilvl w:val="0"/>
          <w:numId w:val="0"/>
        </w:numPr>
        <w:rPr>
          <w:rFonts w:cs="Times New Roman"/>
          <w:bCs w:val="0"/>
          <w:sz w:val="44"/>
          <w:szCs w:val="96"/>
        </w:rPr>
      </w:pPr>
      <w:bookmarkStart w:id="86" w:name="_Toc176441828"/>
      <w:bookmarkStart w:id="87" w:name="_Toc175255597"/>
      <w:bookmarkStart w:id="88" w:name="_Toc175263847"/>
      <w:bookmarkStart w:id="89" w:name="_Toc176713134"/>
      <w:bookmarkStart w:id="90" w:name="_Toc176713684"/>
      <w:bookmarkStart w:id="91" w:name="_Hlk176713632"/>
      <w:r>
        <w:rPr>
          <w:rFonts w:cs="Times New Roman" w:hint="eastAsia"/>
          <w:bCs w:val="0"/>
          <w:sz w:val="44"/>
          <w:szCs w:val="96"/>
        </w:rPr>
        <w:t>条文说明</w:t>
      </w:r>
      <w:bookmarkEnd w:id="86"/>
      <w:bookmarkEnd w:id="87"/>
      <w:bookmarkEnd w:id="88"/>
      <w:bookmarkEnd w:id="89"/>
      <w:bookmarkEnd w:id="90"/>
    </w:p>
    <w:bookmarkEnd w:id="91"/>
    <w:p w:rsidR="001C66B0" w:rsidRDefault="00D005FC">
      <w:pPr>
        <w:rPr>
          <w:rFonts w:asciiTheme="minorEastAsia" w:hAnsiTheme="minorEastAsia"/>
        </w:rPr>
      </w:pPr>
      <w:r>
        <w:br w:type="page"/>
      </w:r>
    </w:p>
    <w:p w:rsidR="001C66B0" w:rsidRDefault="001C66B0"/>
    <w:p w:rsidR="001C66B0" w:rsidRDefault="00D005FC">
      <w:pPr>
        <w:pStyle w:val="20"/>
        <w:spacing w:line="360" w:lineRule="auto"/>
        <w:jc w:val="center"/>
      </w:pPr>
      <w:r>
        <w:rPr>
          <w:rFonts w:ascii="黑体" w:eastAsia="黑体" w:hAnsi="Times New Roman" w:cs="Times New Roman"/>
          <w:spacing w:val="320"/>
          <w:kern w:val="0"/>
          <w:sz w:val="32"/>
          <w:szCs w:val="20"/>
        </w:rPr>
        <w:t>目</w:t>
      </w:r>
      <w:r>
        <w:rPr>
          <w:rFonts w:ascii="黑体" w:eastAsia="黑体" w:hAnsi="Times New Roman" w:cs="Times New Roman" w:hint="eastAsia"/>
          <w:spacing w:val="320"/>
          <w:kern w:val="0"/>
          <w:sz w:val="32"/>
          <w:szCs w:val="20"/>
        </w:rPr>
        <w:t>次</w:t>
      </w:r>
    </w:p>
    <w:p w:rsidR="001C66B0" w:rsidRDefault="001C66B0">
      <w:pPr>
        <w:spacing w:line="360" w:lineRule="auto"/>
      </w:pPr>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35" w:history="1">
        <w:r w:rsidR="00D005FC">
          <w:rPr>
            <w:rStyle w:val="af3"/>
            <w:rFonts w:asciiTheme="minorEastAsia" w:hAnsiTheme="minorEastAsia" w:hint="eastAsia"/>
            <w:b/>
            <w:bCs/>
            <w:color w:val="auto"/>
            <w:u w:val="none"/>
          </w:rPr>
          <w:t>1</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总则</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_Toc176713135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55</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rPr>
      </w:pPr>
      <w:hyperlink w:anchor="_Toc176713136" w:history="1">
        <w:r w:rsidR="00D005FC">
          <w:rPr>
            <w:rFonts w:asciiTheme="minorEastAsia" w:hAnsiTheme="minorEastAsia" w:hint="eastAsia"/>
            <w:b/>
            <w:bCs/>
          </w:rPr>
          <w:t>2</w:t>
        </w:r>
        <w:r w:rsidR="00D005FC">
          <w:rPr>
            <w:rFonts w:asciiTheme="minorEastAsia" w:hAnsiTheme="minorEastAsia" w:hint="eastAsia"/>
            <w:b/>
            <w:bCs/>
          </w:rPr>
          <w:tab/>
          <w:t>术语</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_Toc176713136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56</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37" w:history="1">
        <w:r w:rsidR="00D005FC">
          <w:rPr>
            <w:rFonts w:asciiTheme="minorEastAsia" w:hAnsiTheme="minorEastAsia" w:hint="eastAsia"/>
            <w:b/>
            <w:bCs/>
          </w:rPr>
          <w:t>3</w:t>
        </w:r>
        <w:r w:rsidR="00D005FC">
          <w:rPr>
            <w:rFonts w:asciiTheme="minorEastAsia" w:hAnsiTheme="minorEastAsia" w:hint="eastAsia"/>
            <w:b/>
            <w:bCs/>
          </w:rPr>
          <w:tab/>
          <w:t>基本规定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_Toc176713137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57</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rPr>
      </w:pPr>
      <w:hyperlink w:anchor="_Toc176713138" w:history="1">
        <w:r w:rsidR="00D005FC">
          <w:rPr>
            <w:rFonts w:asciiTheme="minorEastAsia" w:hAnsiTheme="minorEastAsia" w:hint="eastAsia"/>
            <w:b/>
            <w:bCs/>
          </w:rPr>
          <w:t>3.1</w:t>
        </w:r>
        <w:r w:rsidR="00D005FC">
          <w:rPr>
            <w:rFonts w:asciiTheme="minorEastAsia" w:hAnsiTheme="minorEastAsia" w:hint="eastAsia"/>
            <w:b/>
            <w:bCs/>
          </w:rPr>
          <w:tab/>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_Toc176713138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57</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rPr>
      </w:pPr>
      <w:hyperlink w:anchor="_Toc176713139" w:history="1">
        <w:r w:rsidR="00D005FC">
          <w:rPr>
            <w:rFonts w:asciiTheme="minorEastAsia" w:hAnsiTheme="minorEastAsia" w:hint="eastAsia"/>
            <w:b/>
            <w:bCs/>
          </w:rPr>
          <w:t>3.2</w:t>
        </w:r>
        <w:r w:rsidR="00D005FC">
          <w:rPr>
            <w:rFonts w:asciiTheme="minorEastAsia" w:hAnsiTheme="minorEastAsia" w:hint="eastAsia"/>
            <w:b/>
            <w:bCs/>
          </w:rPr>
          <w:tab/>
          <w:t>各方工作职责</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_Toc176713139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57</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rPr>
      </w:pPr>
      <w:hyperlink w:anchor="_Toc176713140" w:history="1">
        <w:r w:rsidR="00D005FC">
          <w:rPr>
            <w:rFonts w:asciiTheme="minorEastAsia" w:hAnsiTheme="minorEastAsia" w:hint="eastAsia"/>
            <w:b/>
            <w:bCs/>
          </w:rPr>
          <w:t>3.3</w:t>
        </w:r>
        <w:r w:rsidR="00D005FC">
          <w:rPr>
            <w:rFonts w:asciiTheme="minorEastAsia" w:hAnsiTheme="minorEastAsia" w:hint="eastAsia"/>
            <w:b/>
            <w:bCs/>
          </w:rPr>
          <w:tab/>
          <w:t>保险合同签订</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57</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41" w:history="1">
        <w:r w:rsidR="00D005FC">
          <w:rPr>
            <w:rFonts w:asciiTheme="minorEastAsia" w:hAnsiTheme="minorEastAsia" w:hint="eastAsia"/>
            <w:b/>
            <w:bCs/>
          </w:rPr>
          <w:t>3.4</w:t>
        </w:r>
        <w:r w:rsidR="00D005FC">
          <w:rPr>
            <w:rFonts w:asciiTheme="minorEastAsia" w:hAnsiTheme="minorEastAsia" w:hint="eastAsia"/>
            <w:b/>
            <w:bCs/>
          </w:rPr>
          <w:tab/>
          <w:t>风险管理机构委托</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58</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42" w:history="1">
        <w:r w:rsidR="00D005FC">
          <w:rPr>
            <w:rStyle w:val="af3"/>
            <w:rFonts w:asciiTheme="minorEastAsia" w:hAnsiTheme="minorEastAsia" w:hint="eastAsia"/>
            <w:b/>
            <w:bCs/>
            <w:color w:val="auto"/>
            <w:u w:val="none"/>
          </w:rPr>
          <w:t>4</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保险承保及理赔服务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59</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rPr>
      </w:pPr>
      <w:hyperlink w:anchor="_Toc176713143" w:history="1">
        <w:r w:rsidR="00D005FC">
          <w:rPr>
            <w:rFonts w:asciiTheme="minorEastAsia" w:hAnsiTheme="minorEastAsia" w:hint="eastAsia"/>
            <w:b/>
            <w:bCs/>
          </w:rPr>
          <w:t>4.1</w:t>
        </w:r>
        <w:r w:rsidR="00D005FC">
          <w:rPr>
            <w:rFonts w:asciiTheme="minorEastAsia" w:hAnsiTheme="minorEastAsia" w:hint="eastAsia"/>
            <w:b/>
            <w:bCs/>
          </w:rPr>
          <w:tab/>
          <w:t>承保要求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59</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44" w:history="1">
        <w:r w:rsidR="00D005FC">
          <w:rPr>
            <w:rFonts w:asciiTheme="minorEastAsia" w:hAnsiTheme="minorEastAsia" w:hint="eastAsia"/>
            <w:b/>
            <w:bCs/>
          </w:rPr>
          <w:t>4.2</w:t>
        </w:r>
        <w:r w:rsidR="00D005FC">
          <w:rPr>
            <w:rFonts w:asciiTheme="minorEastAsia" w:hAnsiTheme="minorEastAsia" w:hint="eastAsia"/>
            <w:b/>
            <w:bCs/>
          </w:rPr>
          <w:tab/>
          <w:t>理赔要求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60</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45" w:history="1">
        <w:r w:rsidR="00D005FC">
          <w:rPr>
            <w:rStyle w:val="af3"/>
            <w:rFonts w:asciiTheme="minorEastAsia" w:hAnsiTheme="minorEastAsia" w:hint="eastAsia"/>
            <w:b/>
            <w:bCs/>
            <w:color w:val="auto"/>
            <w:u w:val="none"/>
          </w:rPr>
          <w:t>5</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风险管理机构及服务人员管理要求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61</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46" w:history="1">
        <w:r w:rsidR="00D005FC">
          <w:rPr>
            <w:rStyle w:val="af3"/>
            <w:rFonts w:asciiTheme="minorEastAsia" w:hAnsiTheme="minorEastAsia" w:hint="eastAsia"/>
            <w:b/>
            <w:bCs/>
            <w:color w:val="auto"/>
            <w:u w:val="none"/>
          </w:rPr>
          <w:t>5.1</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风险</w:t>
        </w:r>
        <w:r w:rsidR="00D005FC">
          <w:rPr>
            <w:rFonts w:asciiTheme="minorEastAsia" w:hAnsiTheme="minorEastAsia" w:hint="eastAsia"/>
            <w:b/>
            <w:bCs/>
          </w:rPr>
          <w:t>管理</w:t>
        </w:r>
        <w:r w:rsidR="00D005FC">
          <w:rPr>
            <w:rStyle w:val="af3"/>
            <w:rFonts w:asciiTheme="minorEastAsia" w:hAnsiTheme="minorEastAsia" w:hint="eastAsia"/>
            <w:b/>
            <w:bCs/>
            <w:color w:val="auto"/>
            <w:u w:val="none"/>
          </w:rPr>
          <w:t>机构资格及管理要求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61</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47" w:history="1">
        <w:r w:rsidR="00D005FC">
          <w:rPr>
            <w:rStyle w:val="af3"/>
            <w:rFonts w:asciiTheme="minorEastAsia" w:hAnsiTheme="minorEastAsia" w:hint="eastAsia"/>
            <w:b/>
            <w:bCs/>
            <w:color w:val="auto"/>
            <w:u w:val="none"/>
          </w:rPr>
          <w:t>5.2</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风险</w:t>
        </w:r>
        <w:r w:rsidR="00D005FC">
          <w:rPr>
            <w:rFonts w:asciiTheme="minorEastAsia" w:hAnsiTheme="minorEastAsia" w:hint="eastAsia"/>
            <w:b/>
            <w:bCs/>
          </w:rPr>
          <w:t>管理</w:t>
        </w:r>
        <w:r w:rsidR="00D005FC">
          <w:rPr>
            <w:rStyle w:val="af3"/>
            <w:rFonts w:asciiTheme="minorEastAsia" w:hAnsiTheme="minorEastAsia" w:hint="eastAsia"/>
            <w:b/>
            <w:bCs/>
            <w:color w:val="auto"/>
            <w:u w:val="none"/>
          </w:rPr>
          <w:t>服务人员要求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61</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48" w:history="1">
        <w:r w:rsidR="00D005FC">
          <w:rPr>
            <w:rStyle w:val="af3"/>
            <w:rFonts w:asciiTheme="minorEastAsia" w:hAnsiTheme="minorEastAsia" w:hint="eastAsia"/>
            <w:b/>
            <w:bCs/>
            <w:color w:val="auto"/>
            <w:u w:val="none"/>
          </w:rPr>
          <w:t>6</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风险</w:t>
        </w:r>
        <w:r w:rsidR="00D005FC">
          <w:rPr>
            <w:rFonts w:asciiTheme="minorEastAsia" w:hAnsiTheme="minorEastAsia" w:hint="eastAsia"/>
            <w:b/>
            <w:bCs/>
          </w:rPr>
          <w:t>管理</w:t>
        </w:r>
        <w:r w:rsidR="00D005FC">
          <w:rPr>
            <w:rStyle w:val="af3"/>
            <w:rFonts w:asciiTheme="minorEastAsia" w:hAnsiTheme="minorEastAsia" w:hint="eastAsia"/>
            <w:b/>
            <w:bCs/>
            <w:color w:val="auto"/>
            <w:u w:val="none"/>
          </w:rPr>
          <w:t>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49" w:history="1">
        <w:r w:rsidR="00D005FC">
          <w:rPr>
            <w:rStyle w:val="af3"/>
            <w:rFonts w:asciiTheme="minorEastAsia" w:hAnsiTheme="minorEastAsia" w:hint="eastAsia"/>
            <w:b/>
            <w:bCs/>
            <w:color w:val="auto"/>
            <w:u w:val="none"/>
          </w:rPr>
          <w:t>6.1</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_Toc176713149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0" w:history="1">
        <w:r w:rsidR="00D005FC">
          <w:rPr>
            <w:rStyle w:val="af3"/>
            <w:rFonts w:asciiTheme="minorEastAsia" w:hAnsiTheme="minorEastAsia" w:hint="eastAsia"/>
            <w:b/>
            <w:bCs/>
            <w:color w:val="auto"/>
            <w:u w:val="none"/>
          </w:rPr>
          <w:t>6.2</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工作</w:t>
        </w:r>
        <w:r w:rsidR="00D005FC">
          <w:rPr>
            <w:rFonts w:asciiTheme="minorEastAsia" w:hAnsiTheme="minorEastAsia" w:hint="eastAsia"/>
            <w:b/>
            <w:bCs/>
          </w:rPr>
          <w:t>依据</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rPr>
      </w:pPr>
      <w:hyperlink w:anchor="_Toc176713151" w:history="1">
        <w:r w:rsidR="00D005FC">
          <w:rPr>
            <w:rStyle w:val="af3"/>
            <w:rFonts w:asciiTheme="minorEastAsia" w:hAnsiTheme="minorEastAsia" w:hint="eastAsia"/>
            <w:b/>
            <w:bCs/>
            <w:color w:val="auto"/>
            <w:u w:val="none"/>
          </w:rPr>
          <w:t>6.5 施工阶段风险管理服务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2" w:history="1">
        <w:r w:rsidR="00D005FC">
          <w:rPr>
            <w:rStyle w:val="af3"/>
            <w:rFonts w:asciiTheme="minorEastAsia" w:hAnsiTheme="minorEastAsia" w:hint="eastAsia"/>
            <w:b/>
            <w:bCs/>
            <w:color w:val="auto"/>
            <w:u w:val="none"/>
          </w:rPr>
          <w:t>6.7</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回访</w:t>
        </w:r>
        <w:r w:rsidR="00D005FC">
          <w:rPr>
            <w:rFonts w:asciiTheme="minorEastAsia" w:hAnsiTheme="minorEastAsia" w:hint="eastAsia"/>
            <w:b/>
            <w:bCs/>
          </w:rPr>
          <w:t>阶段</w:t>
        </w:r>
        <w:r w:rsidR="00D005FC">
          <w:rPr>
            <w:rStyle w:val="af3"/>
            <w:rFonts w:asciiTheme="minorEastAsia" w:hAnsiTheme="minorEastAsia" w:hint="eastAsia"/>
            <w:b/>
            <w:bCs/>
            <w:color w:val="auto"/>
            <w:u w:val="none"/>
          </w:rPr>
          <w:t>风险管理服务</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3" w:history="1">
        <w:r w:rsidR="00D005FC">
          <w:rPr>
            <w:rStyle w:val="af3"/>
            <w:rFonts w:asciiTheme="minorEastAsia" w:hAnsiTheme="minorEastAsia" w:hint="eastAsia"/>
            <w:b/>
            <w:bCs/>
            <w:color w:val="auto"/>
            <w:u w:val="none"/>
          </w:rPr>
          <w:t>6.8</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整改</w:t>
        </w:r>
        <w:r w:rsidR="00D005FC">
          <w:rPr>
            <w:rFonts w:asciiTheme="minorEastAsia" w:hAnsiTheme="minorEastAsia" w:hint="eastAsia"/>
            <w:b/>
            <w:bCs/>
          </w:rPr>
          <w:t>跟踪</w:t>
        </w:r>
        <w:r w:rsidR="00D005FC">
          <w:rPr>
            <w:rStyle w:val="af3"/>
            <w:rFonts w:asciiTheme="minorEastAsia" w:hAnsiTheme="minorEastAsia" w:hint="eastAsia"/>
            <w:b/>
            <w:bCs/>
            <w:color w:val="auto"/>
            <w:u w:val="none"/>
          </w:rPr>
          <w:t>管理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_Toc176713153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62</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54" w:history="1">
        <w:r w:rsidR="00D005FC">
          <w:rPr>
            <w:rStyle w:val="af3"/>
            <w:rFonts w:asciiTheme="minorEastAsia" w:hAnsiTheme="minorEastAsia" w:hint="eastAsia"/>
            <w:b/>
            <w:bCs/>
            <w:color w:val="auto"/>
            <w:u w:val="none"/>
          </w:rPr>
          <w:t>7</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风险管理评估报告体系</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_Toc176713154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64</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5" w:history="1">
        <w:r w:rsidR="00D005FC">
          <w:rPr>
            <w:rStyle w:val="af3"/>
            <w:rFonts w:asciiTheme="minorEastAsia" w:hAnsiTheme="minorEastAsia" w:hint="eastAsia"/>
            <w:b/>
            <w:bCs/>
            <w:color w:val="auto"/>
            <w:u w:val="none"/>
          </w:rPr>
          <w:t>7.1</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_Toc176713155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64</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56" w:history="1">
        <w:r w:rsidR="00D005FC">
          <w:rPr>
            <w:rStyle w:val="af3"/>
            <w:rFonts w:asciiTheme="minorEastAsia" w:hAnsiTheme="minorEastAsia" w:hint="eastAsia"/>
            <w:b/>
            <w:bCs/>
            <w:color w:val="auto"/>
            <w:u w:val="none"/>
          </w:rPr>
          <w:t>8</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保险</w:t>
        </w:r>
        <w:r w:rsidR="00D005FC">
          <w:rPr>
            <w:rFonts w:asciiTheme="minorEastAsia" w:hAnsiTheme="minorEastAsia" w:hint="eastAsia"/>
            <w:b/>
            <w:bCs/>
          </w:rPr>
          <w:t>风险</w:t>
        </w:r>
        <w:r w:rsidR="00D005FC">
          <w:rPr>
            <w:rStyle w:val="af3"/>
            <w:rFonts w:asciiTheme="minorEastAsia" w:hAnsiTheme="minorEastAsia" w:hint="eastAsia"/>
            <w:b/>
            <w:bCs/>
            <w:color w:val="auto"/>
            <w:u w:val="none"/>
          </w:rPr>
          <w:t>等级评估</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_Toc176713156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65</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7" w:history="1">
        <w:r w:rsidR="00D005FC">
          <w:rPr>
            <w:rStyle w:val="af3"/>
            <w:rFonts w:asciiTheme="minorEastAsia" w:hAnsiTheme="minorEastAsia" w:hint="eastAsia"/>
            <w:b/>
            <w:bCs/>
            <w:color w:val="auto"/>
            <w:u w:val="none"/>
          </w:rPr>
          <w:t>8.1</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保险风险评估方法</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_Toc176713157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65</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58" w:history="1">
        <w:r w:rsidR="00D005FC">
          <w:rPr>
            <w:rStyle w:val="af3"/>
            <w:rFonts w:asciiTheme="minorEastAsia" w:hAnsiTheme="minorEastAsia" w:hint="eastAsia"/>
            <w:b/>
            <w:bCs/>
            <w:color w:val="auto"/>
            <w:u w:val="none"/>
          </w:rPr>
          <w:t>8.2</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保险风险等级划分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_Toc176713158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65</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sz w:val="22"/>
          <w:szCs w:val="24"/>
        </w:rPr>
      </w:pPr>
      <w:hyperlink w:anchor="_Toc176713159" w:history="1">
        <w:r w:rsidR="00D005FC">
          <w:rPr>
            <w:rStyle w:val="af3"/>
            <w:rFonts w:asciiTheme="minorEastAsia" w:hAnsiTheme="minorEastAsia" w:hint="eastAsia"/>
            <w:b/>
            <w:bCs/>
            <w:color w:val="auto"/>
            <w:u w:val="none"/>
          </w:rPr>
          <w:t>9</w:t>
        </w:r>
        <w:r w:rsidR="00D005FC">
          <w:rPr>
            <w:rFonts w:asciiTheme="minorEastAsia" w:hAnsiTheme="minorEastAsia" w:hint="eastAsia"/>
            <w:b/>
            <w:bCs/>
            <w:sz w:val="22"/>
            <w:szCs w:val="24"/>
          </w:rPr>
          <w:tab/>
        </w:r>
        <w:r w:rsidR="00D005FC">
          <w:rPr>
            <w:rStyle w:val="af3"/>
            <w:rFonts w:asciiTheme="minorEastAsia" w:hAnsiTheme="minorEastAsia" w:hint="eastAsia"/>
            <w:b/>
            <w:bCs/>
            <w:color w:val="auto"/>
            <w:u w:val="none"/>
          </w:rPr>
          <w:t>房屋维修机构资格及管理要求</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_Toc176713159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66</w:t>
        </w:r>
        <w:r>
          <w:rPr>
            <w:rFonts w:asciiTheme="minorEastAsia" w:hAnsiTheme="minorEastAsia" w:hint="eastAsia"/>
            <w:b/>
            <w:bCs/>
          </w:rPr>
          <w:fldChar w:fldCharType="end"/>
        </w:r>
      </w:hyperlink>
    </w:p>
    <w:p w:rsidR="001C66B0" w:rsidRDefault="000F24AC">
      <w:pPr>
        <w:pStyle w:val="20"/>
        <w:tabs>
          <w:tab w:val="left" w:pos="420"/>
          <w:tab w:val="left" w:pos="1260"/>
          <w:tab w:val="right" w:leader="dot" w:pos="8364"/>
        </w:tabs>
        <w:spacing w:line="276" w:lineRule="auto"/>
        <w:jc w:val="center"/>
        <w:rPr>
          <w:rFonts w:asciiTheme="minorEastAsia" w:hAnsiTheme="minorEastAsia"/>
          <w:b/>
          <w:bCs/>
          <w:sz w:val="22"/>
        </w:rPr>
      </w:pPr>
      <w:hyperlink w:anchor="_Toc176713160" w:history="1">
        <w:r w:rsidR="00D005FC">
          <w:rPr>
            <w:rStyle w:val="af3"/>
            <w:rFonts w:asciiTheme="minorEastAsia" w:hAnsiTheme="minorEastAsia" w:hint="eastAsia"/>
            <w:b/>
            <w:bCs/>
            <w:color w:val="auto"/>
            <w:u w:val="none"/>
          </w:rPr>
          <w:t>9.1</w:t>
        </w:r>
        <w:r w:rsidR="00D005FC">
          <w:rPr>
            <w:rFonts w:asciiTheme="minorEastAsia" w:hAnsiTheme="minorEastAsia" w:hint="eastAsia"/>
            <w:b/>
            <w:bCs/>
            <w:sz w:val="22"/>
          </w:rPr>
          <w:tab/>
        </w:r>
        <w:r w:rsidR="00D005FC">
          <w:rPr>
            <w:rStyle w:val="af3"/>
            <w:rFonts w:asciiTheme="minorEastAsia" w:hAnsiTheme="minorEastAsia" w:hint="eastAsia"/>
            <w:b/>
            <w:bCs/>
            <w:color w:val="auto"/>
            <w:u w:val="none"/>
          </w:rPr>
          <w:t>一般规定</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_Toc176713160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66</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rPr>
      </w:pPr>
      <w:hyperlink w:anchor="_Toc176713161" w:history="1">
        <w:r w:rsidR="00D005FC">
          <w:rPr>
            <w:rFonts w:asciiTheme="minorEastAsia" w:hAnsiTheme="minorEastAsia" w:hint="eastAsia"/>
            <w:b/>
            <w:bCs/>
          </w:rPr>
          <w:t>10</w:t>
        </w:r>
        <w:r w:rsidR="00D005FC">
          <w:rPr>
            <w:rFonts w:asciiTheme="minorEastAsia" w:hAnsiTheme="minorEastAsia" w:hint="eastAsia"/>
            <w:b/>
            <w:bCs/>
          </w:rPr>
          <w:tab/>
          <w:t>档案管理</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_Toc176713161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67</w:t>
        </w:r>
        <w:r>
          <w:rPr>
            <w:rFonts w:asciiTheme="minorEastAsia" w:hAnsiTheme="minorEastAsia" w:hint="eastAsia"/>
            <w:b/>
            <w:bCs/>
          </w:rPr>
          <w:fldChar w:fldCharType="end"/>
        </w:r>
      </w:hyperlink>
    </w:p>
    <w:p w:rsidR="001C66B0" w:rsidRDefault="000F24AC">
      <w:pPr>
        <w:pStyle w:val="10"/>
        <w:tabs>
          <w:tab w:val="left" w:pos="420"/>
          <w:tab w:val="right" w:leader="dot" w:pos="8364"/>
        </w:tabs>
        <w:spacing w:line="276" w:lineRule="auto"/>
        <w:jc w:val="center"/>
        <w:rPr>
          <w:rFonts w:asciiTheme="minorEastAsia" w:hAnsiTheme="minorEastAsia"/>
          <w:b/>
          <w:bCs/>
        </w:rPr>
      </w:pPr>
      <w:hyperlink w:anchor="_Toc176713162" w:history="1">
        <w:r w:rsidR="00D005FC">
          <w:rPr>
            <w:rFonts w:asciiTheme="minorEastAsia" w:hAnsiTheme="minorEastAsia" w:hint="eastAsia"/>
            <w:b/>
            <w:bCs/>
          </w:rPr>
          <w:t>11</w:t>
        </w:r>
        <w:r w:rsidR="00D005FC">
          <w:rPr>
            <w:rFonts w:asciiTheme="minorEastAsia" w:hAnsiTheme="minorEastAsia" w:hint="eastAsia"/>
            <w:b/>
            <w:bCs/>
          </w:rPr>
          <w:tab/>
          <w:t>信息管理平台</w:t>
        </w:r>
        <w:r w:rsidR="00D005FC">
          <w:rPr>
            <w:rFonts w:asciiTheme="minorEastAsia" w:hAnsiTheme="minorEastAsia" w:hint="eastAsia"/>
            <w:b/>
            <w:bCs/>
          </w:rPr>
          <w:tab/>
        </w:r>
        <w:r>
          <w:rPr>
            <w:rFonts w:asciiTheme="minorEastAsia" w:hAnsiTheme="minorEastAsia" w:hint="eastAsia"/>
            <w:b/>
            <w:bCs/>
          </w:rPr>
          <w:fldChar w:fldCharType="begin"/>
        </w:r>
        <w:r w:rsidR="00D005FC">
          <w:rPr>
            <w:rFonts w:asciiTheme="minorEastAsia" w:hAnsiTheme="minorEastAsia" w:hint="eastAsia"/>
            <w:b/>
            <w:bCs/>
          </w:rPr>
          <w:instrText xml:space="preserve"> </w:instrText>
        </w:r>
        <w:r w:rsidR="00D005FC">
          <w:rPr>
            <w:rFonts w:asciiTheme="minorEastAsia" w:hAnsiTheme="minorEastAsia"/>
            <w:b/>
            <w:bCs/>
          </w:rPr>
          <w:instrText>PAGEREF _Toc176713162 \h</w:instrText>
        </w:r>
        <w:r w:rsidR="00D005FC">
          <w:rPr>
            <w:rFonts w:asciiTheme="minorEastAsia" w:hAnsiTheme="minorEastAsia" w:hint="eastAsia"/>
            <w:b/>
            <w:bCs/>
          </w:rPr>
          <w:instrText xml:space="preserve"> </w:instrText>
        </w:r>
        <w:r>
          <w:rPr>
            <w:rFonts w:asciiTheme="minorEastAsia" w:hAnsiTheme="minorEastAsia" w:hint="eastAsia"/>
            <w:b/>
            <w:bCs/>
          </w:rPr>
        </w:r>
        <w:r>
          <w:rPr>
            <w:rFonts w:asciiTheme="minorEastAsia" w:hAnsiTheme="minorEastAsia" w:hint="eastAsia"/>
            <w:b/>
            <w:bCs/>
          </w:rPr>
          <w:fldChar w:fldCharType="separate"/>
        </w:r>
        <w:r w:rsidR="00D005FC">
          <w:rPr>
            <w:rFonts w:asciiTheme="minorEastAsia" w:hAnsiTheme="minorEastAsia"/>
            <w:b/>
            <w:bCs/>
          </w:rPr>
          <w:t>68</w:t>
        </w:r>
        <w:r>
          <w:rPr>
            <w:rFonts w:asciiTheme="minorEastAsia" w:hAnsiTheme="minorEastAsia" w:hint="eastAsia"/>
            <w:b/>
            <w:bCs/>
          </w:rPr>
          <w:fldChar w:fldCharType="end"/>
        </w:r>
      </w:hyperlink>
    </w:p>
    <w:p w:rsidR="001C66B0" w:rsidRDefault="00D005FC">
      <w:pPr>
        <w:spacing w:line="276" w:lineRule="auto"/>
      </w:pPr>
      <w:r>
        <w:br w:type="page"/>
      </w:r>
    </w:p>
    <w:p w:rsidR="001C66B0" w:rsidRDefault="00D005FC">
      <w:pPr>
        <w:pStyle w:val="1"/>
        <w:numPr>
          <w:ilvl w:val="0"/>
          <w:numId w:val="73"/>
        </w:numPr>
        <w:ind w:rightChars="36" w:right="76" w:firstLine="0"/>
      </w:pPr>
      <w:bookmarkStart w:id="92" w:name="_Toc175263848"/>
      <w:bookmarkStart w:id="93" w:name="_Toc106204358"/>
      <w:bookmarkStart w:id="94" w:name="_Toc105386354"/>
      <w:bookmarkStart w:id="95" w:name="_Toc176441829"/>
      <w:bookmarkStart w:id="96" w:name="_Toc176713685"/>
      <w:bookmarkStart w:id="97" w:name="_Toc175255598"/>
      <w:bookmarkStart w:id="98" w:name="_Toc176713135"/>
      <w:r>
        <w:rPr>
          <w:rFonts w:hint="eastAsia"/>
        </w:rPr>
        <w:lastRenderedPageBreak/>
        <w:t>总则</w:t>
      </w:r>
      <w:bookmarkEnd w:id="92"/>
      <w:bookmarkEnd w:id="93"/>
      <w:bookmarkEnd w:id="94"/>
      <w:bookmarkEnd w:id="95"/>
      <w:bookmarkEnd w:id="96"/>
      <w:bookmarkEnd w:id="97"/>
      <w:bookmarkEnd w:id="98"/>
    </w:p>
    <w:p w:rsidR="001C66B0" w:rsidRDefault="00D005FC">
      <w:pPr>
        <w:pStyle w:val="4"/>
        <w:numPr>
          <w:ilvl w:val="2"/>
          <w:numId w:val="74"/>
        </w:numPr>
        <w:ind w:left="0" w:rightChars="36" w:right="76" w:firstLine="0"/>
      </w:pPr>
      <w:r>
        <w:rPr>
          <w:rFonts w:hint="eastAsia"/>
        </w:rPr>
        <w:t>建筑工程质量安全综合保险是在总结国内各地区先行经验的基础上，以“守住安全发展底线，聚焦高质量发展，全力提升群众住房质量”为最终目的推出的质量安全一体化的保险模式，该模式将保险风险保障和风险管理应用于建筑行业全生命周期管理中，使得居民住房品质有所提升、工人施工安全有所保障，实现建设单位、施工单位等多方受益，是一款服务民生的准公共产品。为指导和规范建筑工程质量安全综合保险的承保、理赔和风险管理服务工作开展，有效实现建设工程安全综合保险服务工作，根据《中华人民共和国建筑法》《中华人民共和国保险法》《建设工程质量管理条例》等法律法规，结合实际，编制本编制。</w:t>
      </w:r>
    </w:p>
    <w:p w:rsidR="001C66B0" w:rsidRDefault="00D005FC">
      <w:pPr>
        <w:pStyle w:val="4"/>
        <w:numPr>
          <w:ilvl w:val="2"/>
          <w:numId w:val="74"/>
        </w:numPr>
        <w:ind w:left="0" w:rightChars="36" w:right="76" w:firstLine="0"/>
      </w:pPr>
      <w:r>
        <w:rPr>
          <w:rFonts w:hint="eastAsia"/>
        </w:rPr>
        <w:t>本标准适用范围主要针对房屋建筑工程项目建筑工程质量安全综合保险的工作开展，由于建筑工程质量安全综合保险在加强工程质量安全管理、保障民生权益、促进政府职能转变等方面能够发挥重要积极作用，市政基础设施工程等其他工程可参照执行。</w:t>
      </w:r>
    </w:p>
    <w:p w:rsidR="001C66B0" w:rsidRDefault="00D005FC">
      <w:pPr>
        <w:tabs>
          <w:tab w:val="left" w:pos="142"/>
        </w:tabs>
        <w:spacing w:line="360" w:lineRule="auto"/>
        <w:ind w:rightChars="-34" w:right="-71" w:firstLineChars="200" w:firstLine="420"/>
      </w:pPr>
      <w:r>
        <w:rPr>
          <w:rFonts w:hint="eastAsia"/>
        </w:rPr>
        <w:br w:type="page"/>
      </w:r>
    </w:p>
    <w:p w:rsidR="001C66B0" w:rsidRDefault="00D005FC">
      <w:pPr>
        <w:pStyle w:val="1"/>
      </w:pPr>
      <w:bookmarkStart w:id="99" w:name="_Toc176713136"/>
      <w:bookmarkStart w:id="100" w:name="_Toc105386355"/>
      <w:bookmarkStart w:id="101" w:name="_Toc175255599"/>
      <w:bookmarkStart w:id="102" w:name="_Toc106204359"/>
      <w:bookmarkStart w:id="103" w:name="_Toc176713686"/>
      <w:bookmarkStart w:id="104" w:name="_Toc176441830"/>
      <w:bookmarkStart w:id="105" w:name="_Toc175263849"/>
      <w:r>
        <w:rPr>
          <w:rFonts w:hint="eastAsia"/>
        </w:rPr>
        <w:lastRenderedPageBreak/>
        <w:t>术语</w:t>
      </w:r>
      <w:bookmarkEnd w:id="99"/>
      <w:bookmarkEnd w:id="100"/>
      <w:bookmarkEnd w:id="101"/>
      <w:bookmarkEnd w:id="102"/>
      <w:bookmarkEnd w:id="103"/>
      <w:bookmarkEnd w:id="104"/>
      <w:bookmarkEnd w:id="105"/>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D005FC">
      <w:pPr>
        <w:tabs>
          <w:tab w:val="left" w:pos="142"/>
        </w:tabs>
        <w:spacing w:line="360" w:lineRule="auto"/>
        <w:ind w:rightChars="-34" w:right="-71" w:firstLineChars="202" w:firstLine="424"/>
        <w:rPr>
          <w:rFonts w:ascii="宋体" w:eastAsia="宋体" w:hAnsi="宋体" w:cstheme="minorEastAsia"/>
          <w:bCs/>
          <w:szCs w:val="21"/>
        </w:rPr>
      </w:pPr>
      <w:r>
        <w:rPr>
          <w:rFonts w:ascii="宋体" w:eastAsia="宋体" w:hAnsi="宋体" w:cstheme="minorEastAsia" w:hint="eastAsia"/>
          <w:bCs/>
          <w:szCs w:val="21"/>
        </w:rPr>
        <w:t>本规范规定了建筑工程质量安全综合保险、建筑工程质量潜在缺陷、保险等待期、回访期、风险等级、危险单位、偿付能力、共同保险、风险管理机构、过程检查等术语的定义。</w:t>
      </w:r>
    </w:p>
    <w:p w:rsidR="001C66B0" w:rsidRDefault="00D005FC">
      <w:pPr>
        <w:tabs>
          <w:tab w:val="left" w:pos="142"/>
        </w:tabs>
        <w:spacing w:line="360" w:lineRule="auto"/>
        <w:ind w:rightChars="-34" w:right="-71" w:firstLineChars="202" w:firstLine="424"/>
        <w:rPr>
          <w:rFonts w:ascii="宋体" w:eastAsia="宋体" w:hAnsi="宋体" w:cstheme="minorEastAsia"/>
          <w:bCs/>
          <w:szCs w:val="21"/>
        </w:rPr>
      </w:pPr>
      <w:r>
        <w:rPr>
          <w:rFonts w:ascii="宋体" w:eastAsia="宋体" w:hAnsi="宋体" w:cstheme="minorEastAsia" w:hint="eastAsia"/>
          <w:bCs/>
          <w:szCs w:val="21"/>
        </w:rPr>
        <w:t>以上术语的定义，参考了《保险术语》（GB/T 36687</w:t>
      </w:r>
      <w:r>
        <w:rPr>
          <w:rFonts w:ascii="宋体" w:eastAsia="宋体" w:hAnsi="宋体" w:cstheme="minorEastAsia"/>
          <w:bCs/>
          <w:szCs w:val="21"/>
        </w:rPr>
        <w:t>-</w:t>
      </w:r>
      <w:r>
        <w:rPr>
          <w:rFonts w:ascii="宋体" w:eastAsia="宋体" w:hAnsi="宋体" w:cstheme="minorEastAsia" w:hint="eastAsia"/>
          <w:bCs/>
          <w:szCs w:val="21"/>
        </w:rPr>
        <w:t>2018）等文件的内容，也参考了国际上关于质量潜在缺陷、风险管理机构等术语的通用定义，同时结合行业的实践情况编写。</w:t>
      </w:r>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1C66B0"/>
    <w:p w:rsidR="001C66B0" w:rsidRDefault="001C66B0"/>
    <w:p w:rsidR="001C66B0" w:rsidRDefault="00D005FC">
      <w:r>
        <w:br w:type="page"/>
      </w:r>
    </w:p>
    <w:p w:rsidR="001C66B0" w:rsidRDefault="00D005FC">
      <w:pPr>
        <w:pStyle w:val="1"/>
        <w:numPr>
          <w:ilvl w:val="0"/>
          <w:numId w:val="75"/>
        </w:numPr>
        <w:ind w:firstLine="0"/>
      </w:pPr>
      <w:bookmarkStart w:id="106" w:name="_Toc105386356"/>
      <w:bookmarkStart w:id="107" w:name="_Toc176713137"/>
      <w:bookmarkStart w:id="108" w:name="_Toc175255600"/>
      <w:bookmarkStart w:id="109" w:name="_Toc176441831"/>
      <w:bookmarkStart w:id="110" w:name="_Toc106204360"/>
      <w:bookmarkStart w:id="111" w:name="_Toc175263850"/>
      <w:bookmarkStart w:id="112" w:name="_Toc176713687"/>
      <w:r>
        <w:rPr>
          <w:rFonts w:hint="eastAsia"/>
        </w:rPr>
        <w:lastRenderedPageBreak/>
        <w:t>基本规定</w:t>
      </w:r>
      <w:bookmarkEnd w:id="106"/>
      <w:bookmarkEnd w:id="107"/>
      <w:bookmarkEnd w:id="108"/>
      <w:bookmarkEnd w:id="109"/>
      <w:bookmarkEnd w:id="110"/>
      <w:bookmarkEnd w:id="111"/>
      <w:bookmarkEnd w:id="112"/>
    </w:p>
    <w:p w:rsidR="001C66B0" w:rsidRDefault="00D005FC">
      <w:pPr>
        <w:pStyle w:val="2"/>
        <w:numPr>
          <w:ilvl w:val="1"/>
          <w:numId w:val="76"/>
        </w:numPr>
        <w:spacing w:before="120"/>
      </w:pPr>
      <w:bookmarkStart w:id="113" w:name="_Toc175255601"/>
      <w:bookmarkStart w:id="114" w:name="_Toc105386357"/>
      <w:bookmarkStart w:id="115" w:name="_Toc106204361"/>
      <w:bookmarkStart w:id="116" w:name="_Toc176713138"/>
      <w:bookmarkStart w:id="117" w:name="_Toc176441832"/>
      <w:bookmarkStart w:id="118" w:name="_Toc176713688"/>
      <w:bookmarkStart w:id="119" w:name="_Toc175263851"/>
      <w:r>
        <w:rPr>
          <w:rFonts w:hint="eastAsia"/>
        </w:rPr>
        <w:t>一般规定</w:t>
      </w:r>
      <w:bookmarkEnd w:id="113"/>
      <w:bookmarkEnd w:id="114"/>
      <w:bookmarkEnd w:id="115"/>
      <w:bookmarkEnd w:id="116"/>
      <w:bookmarkEnd w:id="117"/>
      <w:bookmarkEnd w:id="118"/>
      <w:bookmarkEnd w:id="119"/>
    </w:p>
    <w:p w:rsidR="001C66B0" w:rsidRDefault="001C66B0"/>
    <w:p w:rsidR="001C66B0" w:rsidRDefault="00D005FC">
      <w:pPr>
        <w:pStyle w:val="3"/>
        <w:numPr>
          <w:ilvl w:val="2"/>
          <w:numId w:val="76"/>
        </w:numPr>
        <w:ind w:left="0"/>
      </w:pPr>
      <w:r>
        <w:rPr>
          <w:rFonts w:hint="eastAsia"/>
        </w:rPr>
        <w:t>本条文明确建筑工程质量安全综合保险服务的基本原则和统一管理的要求，以便更好的发挥保险产品在风险管理预防管控方面的作用，促进保险行业提供优质服务，标准化、规范化发展。</w:t>
      </w:r>
    </w:p>
    <w:p w:rsidR="001C66B0" w:rsidRDefault="00D005FC">
      <w:pPr>
        <w:pStyle w:val="3"/>
        <w:numPr>
          <w:ilvl w:val="2"/>
          <w:numId w:val="76"/>
        </w:numPr>
        <w:ind w:left="0"/>
      </w:pPr>
      <w:r>
        <w:rPr>
          <w:rFonts w:hint="eastAsia"/>
        </w:rPr>
        <w:t>本条文参考了国内各地区先行经验，将建设单位投保建筑工程质量安全综合保险的要求纳入土地出让条件，在土地出让阶段与建设单位约定投保建筑工程质量安全综合保险，推动这款服务民生的产品切实落地发挥保障和服务作用。</w:t>
      </w:r>
    </w:p>
    <w:p w:rsidR="001C66B0" w:rsidRDefault="00D005FC">
      <w:pPr>
        <w:pStyle w:val="3"/>
        <w:numPr>
          <w:ilvl w:val="2"/>
          <w:numId w:val="76"/>
        </w:numPr>
        <w:ind w:left="0"/>
      </w:pPr>
      <w:r>
        <w:rPr>
          <w:rFonts w:hint="eastAsia"/>
        </w:rPr>
        <w:t>本条文规定了保险公司委托风险管理机构开展工程质量和安全风险管理工作，这是实现工程质量安全风险预防预控主要途径，一方面起到降赔减损作用，使保险公司减少后期保险事故的发生，减少理赔支出；另一方面，也是通过市场化机制，完善工程质量安全管理机制的有效措施之一。</w:t>
      </w:r>
    </w:p>
    <w:p w:rsidR="001C66B0" w:rsidRDefault="00D005FC">
      <w:pPr>
        <w:pStyle w:val="3"/>
        <w:numPr>
          <w:ilvl w:val="2"/>
          <w:numId w:val="76"/>
        </w:numPr>
        <w:ind w:left="0"/>
      </w:pPr>
      <w:r>
        <w:rPr>
          <w:rFonts w:hint="eastAsia"/>
        </w:rPr>
        <w:t>建筑工程质量安全综合保险涉及保险公司、建设单位、风险管理机构、建设行政主管部门等多方的衔接沟通，信息化管理手段能够提升信息流转效率和管理效能，使其更好的发挥作用。</w:t>
      </w:r>
    </w:p>
    <w:p w:rsidR="001C66B0" w:rsidRDefault="001C66B0"/>
    <w:p w:rsidR="001C66B0" w:rsidRDefault="00D005FC">
      <w:pPr>
        <w:pStyle w:val="2"/>
        <w:numPr>
          <w:ilvl w:val="1"/>
          <w:numId w:val="76"/>
        </w:numPr>
        <w:spacing w:before="120"/>
      </w:pPr>
      <w:bookmarkStart w:id="120" w:name="_Toc106204362"/>
      <w:bookmarkStart w:id="121" w:name="_Toc176441833"/>
      <w:bookmarkStart w:id="122" w:name="_Toc176713689"/>
      <w:bookmarkStart w:id="123" w:name="_Toc175263852"/>
      <w:bookmarkStart w:id="124" w:name="_Toc175255602"/>
      <w:bookmarkStart w:id="125" w:name="_Toc176713139"/>
      <w:bookmarkStart w:id="126" w:name="_Toc105386358"/>
      <w:r>
        <w:rPr>
          <w:rFonts w:hint="eastAsia"/>
        </w:rPr>
        <w:t>各方工作职责</w:t>
      </w:r>
      <w:bookmarkEnd w:id="120"/>
      <w:bookmarkEnd w:id="121"/>
      <w:bookmarkEnd w:id="122"/>
      <w:bookmarkEnd w:id="123"/>
      <w:bookmarkEnd w:id="124"/>
      <w:bookmarkEnd w:id="125"/>
      <w:bookmarkEnd w:id="126"/>
    </w:p>
    <w:p w:rsidR="001C66B0" w:rsidRDefault="00D005FC">
      <w:pPr>
        <w:pStyle w:val="3"/>
        <w:numPr>
          <w:ilvl w:val="2"/>
          <w:numId w:val="76"/>
        </w:numPr>
        <w:ind w:left="0"/>
      </w:pPr>
      <w:r>
        <w:rPr>
          <w:rFonts w:hint="eastAsia"/>
        </w:rPr>
        <w:t>建设单位是建筑工程项目的五方责任主体之首，是设计单位、施工单位、监理单位的委托方，因此，建设单位应承担组织协调相关各参建单位配合保险公司风险管理服务实施，统筹做好整改和预防工作的职责。建设单位也是房屋产品的交付方，应配合保险公司告知业主相关投保和理赔信息。</w:t>
      </w:r>
    </w:p>
    <w:p w:rsidR="001C66B0" w:rsidRDefault="00D005FC">
      <w:pPr>
        <w:pStyle w:val="3"/>
        <w:numPr>
          <w:ilvl w:val="0"/>
          <w:numId w:val="0"/>
        </w:numPr>
      </w:pPr>
      <w:r>
        <w:rPr>
          <w:rFonts w:hint="eastAsia"/>
          <w:b/>
        </w:rPr>
        <w:t>3.2.</w:t>
      </w:r>
      <w:r>
        <w:rPr>
          <w:b/>
        </w:rPr>
        <w:t>3</w:t>
      </w:r>
      <w:r>
        <w:rPr>
          <w:rFonts w:hint="eastAsia"/>
          <w:b/>
        </w:rPr>
        <w:t>～3.2.4</w:t>
      </w:r>
      <w:r>
        <w:rPr>
          <w:rFonts w:hint="eastAsia"/>
        </w:rPr>
        <w:t>本条文规定了勘察单位、设计单位、施工单位、监理单位分别根据其在工程项目的职能，承担工程质量、安全保险风险管理方面的相应职责。</w:t>
      </w:r>
    </w:p>
    <w:p w:rsidR="001C66B0" w:rsidRDefault="00D005FC">
      <w:pPr>
        <w:pStyle w:val="3"/>
        <w:numPr>
          <w:ilvl w:val="2"/>
          <w:numId w:val="77"/>
        </w:numPr>
        <w:ind w:left="0"/>
      </w:pPr>
      <w:r>
        <w:rPr>
          <w:rFonts w:hint="eastAsia"/>
        </w:rPr>
        <w:t>各参建单位应为保险公司实施风险管理服务提供便利条件，在工作对接、现场交流沟通、检查资料调取、问题整改反馈等多方面予以配合，如实提供需要查验的各类文件资料，对发现的问题及时积极的整改回复，不得隐瞒真实情况，不得提供虚假的资料，不得消极拖延、妨碍、阻挠风险管理服务。</w:t>
      </w:r>
    </w:p>
    <w:p w:rsidR="001C66B0" w:rsidRDefault="00D005FC">
      <w:pPr>
        <w:pStyle w:val="3"/>
        <w:numPr>
          <w:ilvl w:val="2"/>
          <w:numId w:val="76"/>
        </w:numPr>
        <w:ind w:left="0"/>
      </w:pPr>
      <w:r>
        <w:rPr>
          <w:rFonts w:hint="eastAsia"/>
        </w:rPr>
        <w:t>保险公司是建筑工程质量安全综合保险承保的承保机构，承担赔偿或给付保险金的责任，按照保单约定在建设工程全生命周期提供质量与安全双重保障，提供包括承保、风控、理赔、维修等服务。保险公司也是风险管理服务的实施人，除发挥传统的保险经济补偿赔偿责任外，更要发挥保险的风险管理职能，从保险损失预防预控的角度，通过聘请专业风险管理机构的方式，在建设工程全生命周期过程中为参建单位提供专业的风险预防及风险管理服务。因风险管理机构与工程建设单位不存在直接合同关系，保险公司要负责做好风险管理机构选用、管理及考核，为风险管理工作的顺利开展进行协调推动。</w:t>
      </w:r>
    </w:p>
    <w:p w:rsidR="001C66B0" w:rsidRDefault="00D005FC">
      <w:pPr>
        <w:pStyle w:val="2"/>
        <w:numPr>
          <w:ilvl w:val="1"/>
          <w:numId w:val="76"/>
        </w:numPr>
        <w:spacing w:before="120"/>
      </w:pPr>
      <w:bookmarkStart w:id="127" w:name="_Toc176713140"/>
      <w:bookmarkStart w:id="128" w:name="_Toc176713690"/>
      <w:r>
        <w:rPr>
          <w:rFonts w:hint="eastAsia"/>
        </w:rPr>
        <w:t>保险合同签订</w:t>
      </w:r>
      <w:bookmarkEnd w:id="127"/>
      <w:bookmarkEnd w:id="128"/>
    </w:p>
    <w:p w:rsidR="001C66B0" w:rsidRDefault="00D005FC">
      <w:pPr>
        <w:pStyle w:val="3"/>
        <w:numPr>
          <w:ilvl w:val="2"/>
          <w:numId w:val="76"/>
        </w:numPr>
        <w:ind w:left="0"/>
      </w:pPr>
      <w:r>
        <w:rPr>
          <w:rFonts w:hint="eastAsia"/>
        </w:rPr>
        <w:t>本条文规定了建设单位的投保建筑工程质量安全综合保险的最迟时间节点，和保费一次性支付的要求。施工许可手续办理前，相关工程技术资料和人员如施工图纸、参建单位均已满足施工要求，保险公司及风险管理机构具备开展风险管理服务的条件。若在施工许可手续后签订保险合同，工程已开始</w:t>
      </w:r>
      <w:r>
        <w:rPr>
          <w:rFonts w:hint="eastAsia"/>
        </w:rPr>
        <w:lastRenderedPageBreak/>
        <w:t>施工，存在工程质量安全风险管理滞后，风险管理机构发现的勘察设计问题可能已无法整改，难以实现最佳服务效果。自保险合同签订起，建筑工程质量安全综合保险即提供对工程勘察设计阶段的风险管理服务，在工程开工后即开始承担生产安全事故和施工意外事故的赔偿责任，同时在施工期间提供质量风控服务、安全事故预防服务，在竣工验收后提供回访期服务。建设工程全流程中提供持续的风控服务与理赔保障，保单缴费不足易引起理赔纠纷，因此一次性缴纳保费十分必要。</w:t>
      </w:r>
    </w:p>
    <w:p w:rsidR="001C66B0" w:rsidRDefault="00D005FC">
      <w:pPr>
        <w:pStyle w:val="3"/>
        <w:numPr>
          <w:ilvl w:val="0"/>
          <w:numId w:val="0"/>
        </w:numPr>
        <w:rPr>
          <w:rFonts w:ascii="宋体" w:eastAsia="宋体" w:hAnsi="宋体" w:cs="仿宋_GB2312"/>
          <w:szCs w:val="32"/>
        </w:rPr>
      </w:pPr>
      <w:r>
        <w:rPr>
          <w:rFonts w:hint="eastAsia"/>
          <w:b/>
        </w:rPr>
        <w:t>3.3.2～3.3.3</w:t>
      </w:r>
      <w:r>
        <w:rPr>
          <w:rFonts w:hint="eastAsia"/>
          <w:bCs/>
        </w:rPr>
        <w:t>建筑工程质量安全综合保险是一个服务民生的准公共产品，为</w:t>
      </w:r>
      <w:r>
        <w:rPr>
          <w:rFonts w:hint="eastAsia"/>
        </w:rPr>
        <w:t>规范承保和理赔行为，</w:t>
      </w:r>
      <w:r>
        <w:rPr>
          <w:rFonts w:hint="eastAsia"/>
          <w:bCs/>
        </w:rPr>
        <w:t>保障房屋所有者的权益，</w:t>
      </w:r>
      <w:r>
        <w:rPr>
          <w:rFonts w:hint="eastAsia"/>
        </w:rPr>
        <w:t>本条文规定了建筑工程质量安全综合保险投保材料和合同内容要件。</w:t>
      </w:r>
    </w:p>
    <w:p w:rsidR="001C66B0" w:rsidRDefault="00D005FC">
      <w:pPr>
        <w:pStyle w:val="3"/>
        <w:numPr>
          <w:ilvl w:val="2"/>
          <w:numId w:val="78"/>
        </w:numPr>
        <w:ind w:left="0"/>
        <w:rPr>
          <w:bCs/>
        </w:rPr>
      </w:pPr>
      <w:r>
        <w:rPr>
          <w:rFonts w:hint="eastAsia"/>
          <w:bCs/>
        </w:rPr>
        <w:t>保险公司将保险合同相关信息上传至信息管理平台，以接受相关行政主管部门的监督管理。</w:t>
      </w:r>
    </w:p>
    <w:p w:rsidR="001C66B0" w:rsidRDefault="00D005FC">
      <w:pPr>
        <w:pStyle w:val="2"/>
        <w:numPr>
          <w:ilvl w:val="1"/>
          <w:numId w:val="76"/>
        </w:numPr>
        <w:spacing w:before="120"/>
        <w:rPr>
          <w:rFonts w:ascii="宋体" w:eastAsia="宋体" w:hAnsi="宋体" w:cs="仿宋_GB2312"/>
          <w:szCs w:val="32"/>
        </w:rPr>
      </w:pPr>
      <w:bookmarkStart w:id="129" w:name="_Toc175255604"/>
      <w:bookmarkStart w:id="130" w:name="_Toc106204364"/>
      <w:bookmarkStart w:id="131" w:name="_Toc105386360"/>
      <w:bookmarkStart w:id="132" w:name="_Toc175263854"/>
      <w:bookmarkStart w:id="133" w:name="_Toc176441835"/>
      <w:bookmarkStart w:id="134" w:name="_Toc176713141"/>
      <w:bookmarkStart w:id="135" w:name="_Toc176713691"/>
      <w:r>
        <w:rPr>
          <w:rFonts w:hint="eastAsia"/>
        </w:rPr>
        <w:t>风险管理机构委托</w:t>
      </w:r>
      <w:bookmarkEnd w:id="129"/>
      <w:bookmarkEnd w:id="130"/>
      <w:bookmarkEnd w:id="131"/>
      <w:bookmarkEnd w:id="132"/>
      <w:bookmarkEnd w:id="133"/>
      <w:bookmarkEnd w:id="134"/>
      <w:bookmarkEnd w:id="135"/>
    </w:p>
    <w:p w:rsidR="001C66B0" w:rsidRDefault="00D005FC">
      <w:pPr>
        <w:pStyle w:val="3"/>
        <w:numPr>
          <w:ilvl w:val="2"/>
          <w:numId w:val="76"/>
        </w:numPr>
        <w:ind w:left="0"/>
      </w:pPr>
      <w:r>
        <w:rPr>
          <w:rFonts w:hint="eastAsia"/>
        </w:rPr>
        <w:t>本条文规定了保险公司委托风险管理机构的时间节点和选用要求。风险管理机构的独立性是确保风险评估的客观性、公正性的必要条件，如果不能保证其独立性，其风险评估结果可能出现明显的倾向化，达不到应有的风险管控效果。因此，风险管理机构不得与建设单位及建设项目的勘察、设计、施工、监理、检测、设备材料供应和构配件生产等单位存在隶属关系，不得直接或间接参与该工程的勘察、设计、施工、监理和材料供应等工作，不得与参建各方存在关联关系和利益相关性。为保障良好的服务效果，选用风险管理机构以保障服务质量为优先，重点是考虑其专业程度和服务水平。</w:t>
      </w:r>
    </w:p>
    <w:p w:rsidR="001C66B0" w:rsidRDefault="00D005FC">
      <w:pPr>
        <w:pStyle w:val="3"/>
        <w:numPr>
          <w:ilvl w:val="2"/>
          <w:numId w:val="76"/>
        </w:numPr>
        <w:ind w:left="0"/>
      </w:pPr>
      <w:r>
        <w:rPr>
          <w:rFonts w:hint="eastAsia"/>
        </w:rPr>
        <w:t>建筑工程质量管理和安全管理水平均依托于项目自身管理体系的运作，质量、安全风险管理的部分要素具有共通性，为发挥风险管理服务整体预防预控效果，降低风险管理服务成本，并减少投保项目对接工作量，风险管理按照“质量安全一体化服务”的原则进行，由同一个风险管理机构同时开展质量和安全风险管理服务。</w:t>
      </w:r>
    </w:p>
    <w:p w:rsidR="001C66B0" w:rsidRDefault="00D005FC">
      <w:pPr>
        <w:pStyle w:val="3"/>
        <w:numPr>
          <w:ilvl w:val="2"/>
          <w:numId w:val="76"/>
        </w:numPr>
        <w:ind w:left="0"/>
      </w:pPr>
      <w:r>
        <w:rPr>
          <w:rFonts w:hint="eastAsia"/>
        </w:rPr>
        <w:t>建筑工程质量安全综合保险风险管理对服务人员水平和技术要求高，风险管理机构前期自工程勘察设计阶段开始，即投入较大成本进行勘察设计文件审查，在施工开始后即持续提供质量风控服务、安全事故预防服务，前期成本支出较高，风险管理服务费用投入要与成本支出匹配，按照工程进度及时支付服务费用，以保障服务质量。</w:t>
      </w:r>
    </w:p>
    <w:p w:rsidR="001C66B0" w:rsidRDefault="00D005FC">
      <w:pPr>
        <w:pStyle w:val="3"/>
        <w:numPr>
          <w:ilvl w:val="2"/>
          <w:numId w:val="76"/>
        </w:numPr>
        <w:ind w:left="0"/>
      </w:pPr>
      <w:r>
        <w:rPr>
          <w:rFonts w:hint="eastAsia"/>
        </w:rPr>
        <w:t>为统一风险管理服务标准和要求，规范风险管理服务行为，本条文规定了风险管理保险合同的内容要件。</w:t>
      </w:r>
    </w:p>
    <w:p w:rsidR="001C66B0" w:rsidRDefault="00D005FC">
      <w:pPr>
        <w:pStyle w:val="3"/>
        <w:numPr>
          <w:ilvl w:val="2"/>
          <w:numId w:val="76"/>
        </w:numPr>
        <w:ind w:left="0"/>
      </w:pPr>
      <w:r>
        <w:rPr>
          <w:rFonts w:hint="eastAsia"/>
        </w:rPr>
        <w:t>保险公司将风险管理服务合同相关信息上传至信息管理平台，以接受相关行政主管部门的监督管理。</w:t>
      </w:r>
    </w:p>
    <w:p w:rsidR="001C66B0" w:rsidRDefault="00D005FC">
      <w:pPr>
        <w:pStyle w:val="3"/>
        <w:numPr>
          <w:ilvl w:val="2"/>
          <w:numId w:val="76"/>
        </w:numPr>
        <w:ind w:left="0"/>
      </w:pPr>
      <w:r>
        <w:rPr>
          <w:rFonts w:hint="eastAsia"/>
        </w:rPr>
        <w:t>建筑工程质量安全综合保险是一个服务民生的准公共产品，保险公司要保障风险管理服务的质量，加强对风险管理机构的考核及监督。</w:t>
      </w:r>
    </w:p>
    <w:p w:rsidR="001C66B0" w:rsidRDefault="00D005FC">
      <w:pPr>
        <w:pStyle w:val="3"/>
        <w:numPr>
          <w:ilvl w:val="2"/>
          <w:numId w:val="76"/>
        </w:numPr>
        <w:ind w:left="0"/>
      </w:pPr>
      <w:r>
        <w:rPr>
          <w:rFonts w:hint="eastAsia"/>
          <w:bCs/>
        </w:rPr>
        <w:br w:type="page"/>
      </w:r>
    </w:p>
    <w:p w:rsidR="001C66B0" w:rsidRDefault="00D005FC">
      <w:pPr>
        <w:pStyle w:val="1"/>
      </w:pPr>
      <w:bookmarkStart w:id="136" w:name="_Toc105386361"/>
      <w:bookmarkStart w:id="137" w:name="_Toc106204365"/>
      <w:bookmarkStart w:id="138" w:name="_Toc175263855"/>
      <w:bookmarkStart w:id="139" w:name="_Toc175255605"/>
      <w:bookmarkStart w:id="140" w:name="_Toc176441836"/>
      <w:bookmarkStart w:id="141" w:name="_Toc176713142"/>
      <w:bookmarkStart w:id="142" w:name="_Toc176713692"/>
      <w:r>
        <w:rPr>
          <w:rFonts w:hint="eastAsia"/>
        </w:rPr>
        <w:lastRenderedPageBreak/>
        <w:t>保险承保及理赔服务</w:t>
      </w:r>
      <w:bookmarkEnd w:id="136"/>
      <w:bookmarkEnd w:id="137"/>
      <w:bookmarkEnd w:id="138"/>
      <w:bookmarkEnd w:id="139"/>
      <w:bookmarkEnd w:id="140"/>
      <w:bookmarkEnd w:id="141"/>
      <w:bookmarkEnd w:id="142"/>
    </w:p>
    <w:p w:rsidR="001C66B0" w:rsidRDefault="00D005FC">
      <w:pPr>
        <w:pStyle w:val="2"/>
        <w:spacing w:before="120"/>
      </w:pPr>
      <w:bookmarkStart w:id="143" w:name="_Toc175263856"/>
      <w:bookmarkStart w:id="144" w:name="_Toc175255606"/>
      <w:bookmarkStart w:id="145" w:name="_Toc105386362"/>
      <w:bookmarkStart w:id="146" w:name="_Toc106204366"/>
      <w:bookmarkStart w:id="147" w:name="_Toc176441837"/>
      <w:bookmarkStart w:id="148" w:name="_Toc176713143"/>
      <w:bookmarkStart w:id="149" w:name="_Toc176713693"/>
      <w:r>
        <w:rPr>
          <w:rFonts w:hint="eastAsia"/>
        </w:rPr>
        <w:t>承保</w:t>
      </w:r>
      <w:bookmarkEnd w:id="143"/>
      <w:bookmarkEnd w:id="144"/>
      <w:bookmarkEnd w:id="145"/>
      <w:bookmarkEnd w:id="146"/>
      <w:r>
        <w:rPr>
          <w:rFonts w:hint="eastAsia"/>
        </w:rPr>
        <w:t>要求</w:t>
      </w:r>
      <w:bookmarkEnd w:id="147"/>
      <w:bookmarkEnd w:id="148"/>
      <w:bookmarkEnd w:id="149"/>
    </w:p>
    <w:p w:rsidR="001C66B0" w:rsidRDefault="00D005FC">
      <w:pPr>
        <w:pStyle w:val="3"/>
        <w:numPr>
          <w:ilvl w:val="0"/>
          <w:numId w:val="0"/>
        </w:numPr>
      </w:pPr>
      <w:r>
        <w:rPr>
          <w:rFonts w:hint="eastAsia"/>
          <w:b/>
        </w:rPr>
        <w:t>4</w:t>
      </w:r>
      <w:r>
        <w:rPr>
          <w:b/>
        </w:rPr>
        <w:t>.1.1</w:t>
      </w:r>
      <w:r>
        <w:rPr>
          <w:rFonts w:hint="eastAsia"/>
          <w:b/>
        </w:rPr>
        <w:t>～4</w:t>
      </w:r>
      <w:r>
        <w:rPr>
          <w:b/>
        </w:rPr>
        <w:t>.1.2</w:t>
      </w:r>
      <w:r>
        <w:rPr>
          <w:rFonts w:ascii="宋体" w:eastAsia="宋体" w:hAnsi="宋体" w:cs="仿宋_GB2312" w:hint="eastAsia"/>
          <w:szCs w:val="32"/>
        </w:rPr>
        <w:t>相较于传统工程保险，建筑工程质量安全综合保险由于工程质量保险标的的专业性、保险责任期的长期性，理赔金额的高额性，以及运用保险技术的复杂性等特点，对保险公司的风险承担能力、管理能力、服务能力，特别是理赔服务中群体性事件的处理能力，具有较高的要求。作为服务民生的准公共产品，为保障保险服务效果，维护房屋所有者的合法权益，</w:t>
      </w:r>
      <w:bookmarkStart w:id="150" w:name="_Hlk105383470"/>
      <w:r>
        <w:rPr>
          <w:rFonts w:ascii="宋体" w:eastAsia="宋体" w:hAnsi="宋体" w:cs="仿宋_GB2312" w:hint="eastAsia"/>
          <w:szCs w:val="32"/>
        </w:rPr>
        <w:t>本部分条文规定了</w:t>
      </w:r>
      <w:bookmarkEnd w:id="150"/>
      <w:r>
        <w:rPr>
          <w:rFonts w:ascii="宋体" w:eastAsia="宋体" w:hAnsi="宋体" w:cs="仿宋_GB2312" w:hint="eastAsia"/>
          <w:szCs w:val="32"/>
        </w:rPr>
        <w:t>主承保保险公司和共保保险公司应满足的资格条件。</w:t>
      </w:r>
    </w:p>
    <w:p w:rsidR="001C66B0" w:rsidRDefault="00D005FC">
      <w:pPr>
        <w:pStyle w:val="3"/>
        <w:numPr>
          <w:ilvl w:val="2"/>
          <w:numId w:val="79"/>
        </w:numPr>
        <w:ind w:left="0"/>
      </w:pPr>
      <w:r>
        <w:rPr>
          <w:rFonts w:hint="eastAsia"/>
        </w:rPr>
        <w:t>为使房屋所有者享受一致的权益保障，并实现统一的服务标准，达到质量安全一体化风险管控效果，建筑工程质量安全综合保险实行一张保单承保，并统一保险条款及费率，保险公司应按金融监管要求备案产品的条款和费率，不得扩展或缩减保险责任。</w:t>
      </w:r>
    </w:p>
    <w:p w:rsidR="001C66B0" w:rsidRDefault="00D005FC">
      <w:pPr>
        <w:pStyle w:val="3"/>
        <w:numPr>
          <w:ilvl w:val="2"/>
          <w:numId w:val="79"/>
        </w:numPr>
        <w:ind w:left="0"/>
        <w:rPr>
          <w:rFonts w:ascii="宋体" w:hAnsi="宋体" w:cs="宋体"/>
          <w:bCs/>
        </w:rPr>
      </w:pPr>
      <w:r>
        <w:rPr>
          <w:rFonts w:hint="eastAsia"/>
        </w:rPr>
        <w:t>建筑工程质量安全综合保险的承保范围包括</w:t>
      </w:r>
      <w:r>
        <w:rPr>
          <w:rFonts w:ascii="宋体" w:hAnsi="宋体" w:cs="宋体" w:hint="eastAsia"/>
          <w:bCs/>
        </w:rPr>
        <w:t>地基基础和主体结构工程，围护结构保温工程，防水工程，装饰装修工程，电气管线、给排水管道、设备安装工程，供热与供冷系统工程和因生产安全事故或施工意外事故导致的有关损失，与国内其他地区实施工程质量潜在缺陷保险的模式相比，在工程质量保障基础上，增加了施工安全方面的保障内容，从质量和安全两个方面为工程项目和参建单位提供更全面的风险保障和风险管理服务。</w:t>
      </w:r>
    </w:p>
    <w:p w:rsidR="001C66B0" w:rsidRDefault="00D005FC">
      <w:pPr>
        <w:pStyle w:val="3"/>
        <w:ind w:left="0"/>
      </w:pPr>
      <w:r>
        <w:rPr>
          <w:rFonts w:hint="eastAsia"/>
        </w:rPr>
        <w:t>本</w:t>
      </w:r>
      <w:r>
        <w:rPr>
          <w:rFonts w:ascii="宋体" w:hAnsi="宋体" w:cs="宋体" w:hint="eastAsia"/>
          <w:bCs/>
        </w:rPr>
        <w:t>条文</w:t>
      </w:r>
      <w:r>
        <w:rPr>
          <w:rFonts w:hint="eastAsia"/>
        </w:rPr>
        <w:t>规定了建筑工程质量安全综合保险的保险责任期，其中质量潜在缺陷保险保障责任开始时间为工程竣工验收合格之日后两年起算。设置两年等待期的原因，一是根据相关法律法规，建设单位、施工单位等参建单位要承担工程质量管理企业主体责任，如果不设置等待期，工程竣工后马上由保险公司承担理赔维修责任，将会减轻施工单位等参建单位的质保责任，可能导致参建单位忽视自身应履行的主体责任，放松自身在建设过程中应承担的质量管控要求，反而产生更多的工程质量问题，导致有违政策初衷的反效果。二是在等待期内，施工单位因为尚未完成结算，还在现场留有工作人员，由施工单位进行质量问题的维修，可以提高服务效率、降低社会总成本，更好地为业主服务。等待期的设定是社会成本最集约的优化选择。</w:t>
      </w:r>
    </w:p>
    <w:p w:rsidR="001C66B0" w:rsidRDefault="00D005FC">
      <w:pPr>
        <w:pStyle w:val="3"/>
        <w:ind w:left="0"/>
      </w:pPr>
      <w:bookmarkStart w:id="151" w:name="_Hlk105332100"/>
      <w:r>
        <w:rPr>
          <w:rFonts w:hint="eastAsia"/>
        </w:rPr>
        <w:t>本条文规定了建筑工程质量安全综合保险</w:t>
      </w:r>
      <w:bookmarkEnd w:id="151"/>
      <w:r>
        <w:rPr>
          <w:rFonts w:hint="eastAsia"/>
        </w:rPr>
        <w:t>计算方式。施工单位也负有相应管理责任，也承担部分保险费，实操中，在建设单位与保险公司签署保险合同后，先行为施工单位代缴保险费。</w:t>
      </w:r>
    </w:p>
    <w:p w:rsidR="001C66B0" w:rsidRDefault="00D005FC">
      <w:pPr>
        <w:pStyle w:val="3"/>
        <w:ind w:left="0"/>
        <w:rPr>
          <w:rFonts w:ascii="仿宋_GB2312" w:hAnsi="仿宋" w:cs="仿宋_GB2312"/>
          <w:szCs w:val="32"/>
        </w:rPr>
      </w:pPr>
      <w:r>
        <w:rPr>
          <w:rFonts w:hint="eastAsia"/>
        </w:rPr>
        <w:t>本条文规定了</w:t>
      </w:r>
      <w:r>
        <w:rPr>
          <w:rFonts w:ascii="仿宋_GB2312" w:hAnsi="仿宋" w:cs="仿宋_GB2312" w:hint="eastAsia"/>
          <w:szCs w:val="32"/>
        </w:rPr>
        <w:t>建筑工程工程质量安全保险承保模式。保险公司可根据自身承保能力选择是否共保。采用共保模式的，主承保公司承担主要合同份额，以确保主承保公司承担共保体的管理和服务责任，避免主承保公司怠于履行管理职责，降低服务水平和服务效果。</w:t>
      </w:r>
    </w:p>
    <w:p w:rsidR="001C66B0" w:rsidRDefault="00D005FC">
      <w:pPr>
        <w:pStyle w:val="3"/>
        <w:ind w:left="0"/>
      </w:pPr>
      <w:r>
        <w:rPr>
          <w:rFonts w:hint="eastAsia"/>
        </w:rPr>
        <w:t>一个工程项目中，建筑的主体结构作为一个整体承受各类竖向及水平荷载，各部分之间协同受力，互相影响；楼体之间的沉降、倾斜、开裂等均会相互影响；损坏后，也是作为一个整体进行修复，否则将难以达到预期效果。因此，一个工程项目主体结构相连的建筑物应作为一个危险单位整体投保，包括住宅和同一地块的其他建筑物整体出具一份保单。如拆分投保，将难以确定责任主体是否在保险的保障范围，在理赔或修复时极易产生纠纷，损害房屋所有者的利益。</w:t>
      </w:r>
    </w:p>
    <w:p w:rsidR="001C66B0" w:rsidRDefault="00D005FC">
      <w:pPr>
        <w:pStyle w:val="3"/>
        <w:ind w:left="0"/>
      </w:pPr>
      <w:r>
        <w:rPr>
          <w:rFonts w:hint="eastAsia"/>
        </w:rPr>
        <w:lastRenderedPageBreak/>
        <w:t>本条文规范保险公司的承保流程。</w:t>
      </w:r>
    </w:p>
    <w:p w:rsidR="001C66B0" w:rsidRDefault="00D005FC">
      <w:pPr>
        <w:pStyle w:val="3"/>
        <w:ind w:left="0"/>
      </w:pPr>
      <w:r>
        <w:rPr>
          <w:rFonts w:hint="eastAsia"/>
        </w:rPr>
        <w:t>本条文规范保险公司的报价行为，确保良性的市场竞争秩序。s</w:t>
      </w:r>
    </w:p>
    <w:p w:rsidR="001C66B0" w:rsidRDefault="001C66B0"/>
    <w:p w:rsidR="001C66B0" w:rsidRDefault="00D005FC">
      <w:pPr>
        <w:pStyle w:val="2"/>
        <w:spacing w:before="120"/>
      </w:pPr>
      <w:bookmarkStart w:id="152" w:name="_Toc106204368"/>
      <w:bookmarkStart w:id="153" w:name="_Toc175263858"/>
      <w:bookmarkStart w:id="154" w:name="_Toc105386364"/>
      <w:bookmarkStart w:id="155" w:name="_Toc175255608"/>
      <w:bookmarkStart w:id="156" w:name="_Toc176441838"/>
      <w:bookmarkStart w:id="157" w:name="_Toc176713144"/>
      <w:bookmarkStart w:id="158" w:name="_Toc176713694"/>
      <w:r>
        <w:rPr>
          <w:rFonts w:hint="eastAsia"/>
        </w:rPr>
        <w:t>理赔</w:t>
      </w:r>
      <w:bookmarkEnd w:id="152"/>
      <w:bookmarkEnd w:id="153"/>
      <w:bookmarkEnd w:id="154"/>
      <w:bookmarkEnd w:id="155"/>
      <w:r>
        <w:rPr>
          <w:rFonts w:hint="eastAsia"/>
        </w:rPr>
        <w:t>要求</w:t>
      </w:r>
      <w:bookmarkEnd w:id="156"/>
      <w:bookmarkEnd w:id="157"/>
      <w:bookmarkEnd w:id="158"/>
    </w:p>
    <w:p w:rsidR="001C66B0" w:rsidRDefault="00D005FC">
      <w:pPr>
        <w:pStyle w:val="3"/>
        <w:ind w:left="0"/>
        <w:rPr>
          <w:rFonts w:ascii="宋体" w:eastAsia="宋体" w:hAnsi="宋体" w:cs="仿宋_GB2312"/>
          <w:szCs w:val="32"/>
        </w:rPr>
      </w:pPr>
      <w:r>
        <w:rPr>
          <w:rFonts w:hint="eastAsia"/>
        </w:rPr>
        <w:t>理赔服务是体现保险建筑工程质量安全综合保险服务价值的重要途径，本条文规定了</w:t>
      </w:r>
      <w:bookmarkStart w:id="159" w:name="_Hlk105381514"/>
      <w:r>
        <w:rPr>
          <w:rFonts w:hint="eastAsia"/>
        </w:rPr>
        <w:t>保险公司</w:t>
      </w:r>
      <w:r>
        <w:rPr>
          <w:rFonts w:ascii="宋体" w:eastAsia="宋体" w:hAnsi="宋体" w:cs="仿宋_GB2312" w:hint="eastAsia"/>
          <w:szCs w:val="32"/>
        </w:rPr>
        <w:t>建筑工程质量安全综合保险</w:t>
      </w:r>
      <w:bookmarkEnd w:id="159"/>
      <w:r>
        <w:rPr>
          <w:rFonts w:ascii="宋体" w:eastAsia="宋体" w:hAnsi="宋体" w:cs="仿宋_GB2312" w:hint="eastAsia"/>
          <w:szCs w:val="32"/>
        </w:rPr>
        <w:t>的理赔工作</w:t>
      </w:r>
      <w:r>
        <w:rPr>
          <w:rFonts w:hint="eastAsia"/>
        </w:rPr>
        <w:t>职责</w:t>
      </w:r>
      <w:r>
        <w:rPr>
          <w:rFonts w:ascii="宋体" w:eastAsia="宋体" w:hAnsi="宋体" w:cs="仿宋_GB2312" w:hint="eastAsia"/>
          <w:szCs w:val="32"/>
        </w:rPr>
        <w:t>。</w:t>
      </w:r>
    </w:p>
    <w:p w:rsidR="001C66B0" w:rsidRDefault="00D005FC">
      <w:pPr>
        <w:pStyle w:val="3"/>
        <w:ind w:left="0"/>
      </w:pPr>
      <w:r>
        <w:rPr>
          <w:rFonts w:hint="eastAsia"/>
        </w:rPr>
        <w:t>本条文规范保险公司理赔团队要求，以保障理赔服务的专业性。</w:t>
      </w:r>
    </w:p>
    <w:p w:rsidR="001C66B0" w:rsidRDefault="00D005FC">
      <w:pPr>
        <w:pStyle w:val="3"/>
        <w:ind w:left="0"/>
      </w:pPr>
      <w:r>
        <w:rPr>
          <w:rFonts w:hint="eastAsia"/>
        </w:rPr>
        <w:t>建筑工程质量安全综合保险中，</w:t>
      </w:r>
      <w:r>
        <w:rPr>
          <w:rFonts w:hint="eastAsia"/>
          <w:bCs/>
        </w:rPr>
        <w:t>工程</w:t>
      </w:r>
      <w:r>
        <w:rPr>
          <w:rFonts w:hint="eastAsia"/>
        </w:rPr>
        <w:t>潜在质量缺陷保险责任的被保险人是房屋所有者，为保障被保险人的知情权，便于后期索赔，保险公司需将相关保险信息、理赔方式等信息形成保险告知书，通过建设单位在房屋交付时告知房屋所有者。</w:t>
      </w:r>
    </w:p>
    <w:p w:rsidR="001C66B0" w:rsidRDefault="00D005FC">
      <w:pPr>
        <w:pStyle w:val="3"/>
        <w:ind w:left="0"/>
      </w:pPr>
      <w:r>
        <w:rPr>
          <w:rFonts w:hint="eastAsia"/>
        </w:rPr>
        <w:t>项目竣工验收合格后，对于工程质量潜在缺陷保险责任的理赔，为防范理赔服务中现金赔付可能产生的道德风险，以及避免业主现金索赔后房屋维修不到位，问题扩大引发后继其他质量问题的情况，理赔侧重于对质量问题的修复、加固和重置。</w:t>
      </w:r>
    </w:p>
    <w:p w:rsidR="001C66B0" w:rsidRDefault="00D005FC">
      <w:pPr>
        <w:pStyle w:val="3"/>
        <w:numPr>
          <w:ilvl w:val="0"/>
          <w:numId w:val="0"/>
        </w:numPr>
      </w:pPr>
      <w:r>
        <w:rPr>
          <w:rFonts w:hint="eastAsia"/>
          <w:b/>
        </w:rPr>
        <w:t>4</w:t>
      </w:r>
      <w:r>
        <w:rPr>
          <w:b/>
        </w:rPr>
        <w:t>.</w:t>
      </w:r>
      <w:r>
        <w:rPr>
          <w:rFonts w:hint="eastAsia"/>
          <w:b/>
        </w:rPr>
        <w:t>2</w:t>
      </w:r>
      <w:r>
        <w:rPr>
          <w:b/>
        </w:rPr>
        <w:t>.</w:t>
      </w:r>
      <w:r>
        <w:rPr>
          <w:rFonts w:hint="eastAsia"/>
          <w:b/>
        </w:rPr>
        <w:t>5～4</w:t>
      </w:r>
      <w:r>
        <w:rPr>
          <w:b/>
        </w:rPr>
        <w:t>.</w:t>
      </w:r>
      <w:r>
        <w:rPr>
          <w:rFonts w:hint="eastAsia"/>
          <w:b/>
        </w:rPr>
        <w:t>2</w:t>
      </w:r>
      <w:r>
        <w:rPr>
          <w:b/>
        </w:rPr>
        <w:t>.</w:t>
      </w:r>
      <w:r>
        <w:rPr>
          <w:rFonts w:hint="eastAsia"/>
          <w:b/>
        </w:rPr>
        <w:t xml:space="preserve">15 </w:t>
      </w:r>
      <w:r>
        <w:rPr>
          <w:rFonts w:hint="eastAsia"/>
        </w:rPr>
        <w:t>规范保险公司理赔流程、理赔维修时效、快速赔付机制、应急机制、争议处置机制等，保障为被保险</w:t>
      </w:r>
      <w:r>
        <w:rPr>
          <w:rFonts w:ascii="宋体" w:eastAsia="宋体" w:hAnsi="宋体" w:cs="仿宋_GB2312" w:hint="eastAsia"/>
          <w:szCs w:val="32"/>
        </w:rPr>
        <w:t>人提供及时、良好的理赔服务。</w:t>
      </w:r>
    </w:p>
    <w:p w:rsidR="001C66B0" w:rsidRDefault="00D005FC">
      <w:pPr>
        <w:pStyle w:val="3"/>
        <w:numPr>
          <w:ilvl w:val="2"/>
          <w:numId w:val="80"/>
        </w:numPr>
        <w:ind w:left="0"/>
      </w:pPr>
      <w:r>
        <w:rPr>
          <w:rFonts w:hint="eastAsia"/>
        </w:rPr>
        <w:t>本条文规定了保险公司代位追偿的权利。追偿权的行使有助于落实各方主体的工程质量责任，防范保险道德风险。保险公司会权衡追偿成本（包括质量鉴定、责任认定、争议解决等费用）与追偿收益后决定是否启用追偿。</w:t>
      </w:r>
    </w:p>
    <w:p w:rsidR="001C66B0" w:rsidRDefault="00D005FC">
      <w:pPr>
        <w:tabs>
          <w:tab w:val="left" w:pos="142"/>
        </w:tabs>
        <w:spacing w:line="360" w:lineRule="auto"/>
        <w:ind w:rightChars="-34" w:right="-71" w:firstLineChars="200" w:firstLine="420"/>
        <w:rPr>
          <w:rFonts w:ascii="宋体" w:eastAsia="宋体" w:hAnsi="宋体" w:cstheme="minorEastAsia"/>
          <w:bCs/>
          <w:szCs w:val="21"/>
        </w:rPr>
      </w:pPr>
      <w:r>
        <w:rPr>
          <w:rFonts w:ascii="宋体" w:eastAsia="宋体" w:hAnsi="宋体" w:cstheme="minorEastAsia"/>
          <w:bCs/>
          <w:szCs w:val="21"/>
        </w:rPr>
        <w:br w:type="page"/>
      </w:r>
    </w:p>
    <w:p w:rsidR="001C66B0" w:rsidRDefault="00D005FC">
      <w:pPr>
        <w:pStyle w:val="1"/>
      </w:pPr>
      <w:bookmarkStart w:id="160" w:name="_Toc176713695"/>
      <w:bookmarkStart w:id="161" w:name="_Toc176713145"/>
      <w:r>
        <w:rPr>
          <w:rFonts w:hint="eastAsia"/>
        </w:rPr>
        <w:lastRenderedPageBreak/>
        <w:t>风险管理机构及服务人员管理要求</w:t>
      </w:r>
      <w:bookmarkEnd w:id="160"/>
      <w:bookmarkEnd w:id="161"/>
    </w:p>
    <w:p w:rsidR="001C66B0" w:rsidRDefault="00D005FC">
      <w:pPr>
        <w:pStyle w:val="2"/>
        <w:spacing w:before="120"/>
      </w:pPr>
      <w:bookmarkStart w:id="162" w:name="_Toc175255613"/>
      <w:bookmarkStart w:id="163" w:name="_Toc176713696"/>
      <w:bookmarkStart w:id="164" w:name="_Toc105386369"/>
      <w:bookmarkStart w:id="165" w:name="_Toc106204373"/>
      <w:bookmarkStart w:id="166" w:name="_Toc175263863"/>
      <w:bookmarkStart w:id="167" w:name="_Toc176441840"/>
      <w:bookmarkStart w:id="168" w:name="_Toc176713146"/>
      <w:r>
        <w:rPr>
          <w:rFonts w:hint="eastAsia"/>
        </w:rPr>
        <w:t>风险管理机构资格及管理要求</w:t>
      </w:r>
      <w:bookmarkEnd w:id="162"/>
      <w:bookmarkEnd w:id="163"/>
      <w:bookmarkEnd w:id="164"/>
      <w:bookmarkEnd w:id="165"/>
      <w:bookmarkEnd w:id="166"/>
      <w:bookmarkEnd w:id="167"/>
      <w:bookmarkEnd w:id="168"/>
    </w:p>
    <w:p w:rsidR="001C66B0" w:rsidRDefault="00D005FC">
      <w:pPr>
        <w:pStyle w:val="3"/>
        <w:numPr>
          <w:ilvl w:val="0"/>
          <w:numId w:val="0"/>
        </w:numPr>
        <w:rPr>
          <w:color w:val="FF0000"/>
        </w:rPr>
      </w:pPr>
      <w:r>
        <w:rPr>
          <w:rFonts w:ascii="宋体" w:eastAsia="宋体" w:hAnsi="宋体" w:hint="eastAsia"/>
          <w:b/>
        </w:rPr>
        <w:t>5</w:t>
      </w:r>
      <w:r>
        <w:rPr>
          <w:rFonts w:ascii="宋体" w:eastAsia="宋体" w:hAnsi="宋体"/>
          <w:b/>
        </w:rPr>
        <w:t>.1.1</w:t>
      </w:r>
      <w:r>
        <w:rPr>
          <w:rFonts w:ascii="宋体" w:eastAsia="宋体" w:hAnsi="宋体" w:hint="eastAsia"/>
          <w:b/>
        </w:rPr>
        <w:t>～5</w:t>
      </w:r>
      <w:r>
        <w:rPr>
          <w:rFonts w:ascii="宋体" w:eastAsia="宋体" w:hAnsi="宋体"/>
          <w:b/>
        </w:rPr>
        <w:t>.1.2</w:t>
      </w:r>
      <w:r>
        <w:rPr>
          <w:rFonts w:hint="eastAsia"/>
          <w:color w:val="FF0000"/>
        </w:rPr>
        <w:t xml:space="preserve"> </w:t>
      </w:r>
      <w:r>
        <w:rPr>
          <w:rFonts w:hint="eastAsia"/>
          <w:bCs/>
        </w:rPr>
        <w:t>风险管理服务是</w:t>
      </w:r>
      <w:r>
        <w:rPr>
          <w:rFonts w:hint="eastAsia"/>
        </w:rPr>
        <w:t>建筑工程</w:t>
      </w:r>
      <w:r>
        <w:rPr>
          <w:rFonts w:hint="eastAsia"/>
          <w:bCs/>
        </w:rPr>
        <w:t>质量安全综合保险不可或缺的重要组成部分，风险管理机构的专业水平和服务能力对保险公司的降赔减损至关重要，在促进工程质量安全管理水平提升、保障房屋质量方面能够发挥积极作用，</w:t>
      </w:r>
      <w:bookmarkStart w:id="169" w:name="_Hlk105383859"/>
      <w:bookmarkStart w:id="170" w:name="_Hlk105385950"/>
      <w:r>
        <w:rPr>
          <w:rFonts w:hint="eastAsia"/>
          <w:bCs/>
        </w:rPr>
        <w:t>本部分条文规定了风险管理机构</w:t>
      </w:r>
      <w:bookmarkEnd w:id="169"/>
      <w:r>
        <w:rPr>
          <w:rFonts w:hint="eastAsia"/>
          <w:bCs/>
        </w:rPr>
        <w:t>应满足的资格条件，以保障风险管理服务科学、有效、专业、公正的开展。</w:t>
      </w:r>
      <w:bookmarkEnd w:id="170"/>
    </w:p>
    <w:p w:rsidR="001C66B0" w:rsidRDefault="00D005FC">
      <w:pPr>
        <w:pStyle w:val="3"/>
        <w:numPr>
          <w:ilvl w:val="0"/>
          <w:numId w:val="0"/>
        </w:numPr>
      </w:pPr>
      <w:r>
        <w:rPr>
          <w:rFonts w:ascii="宋体" w:eastAsia="宋体" w:hAnsi="宋体" w:hint="eastAsia"/>
          <w:b/>
        </w:rPr>
        <w:t>5</w:t>
      </w:r>
      <w:r>
        <w:rPr>
          <w:rFonts w:ascii="宋体" w:eastAsia="宋体" w:hAnsi="宋体"/>
          <w:b/>
        </w:rPr>
        <w:t>.1.</w:t>
      </w:r>
      <w:r>
        <w:rPr>
          <w:rFonts w:ascii="宋体" w:eastAsia="宋体" w:hAnsi="宋体" w:hint="eastAsia"/>
          <w:b/>
        </w:rPr>
        <w:t>3～5</w:t>
      </w:r>
      <w:r>
        <w:rPr>
          <w:rFonts w:ascii="宋体" w:eastAsia="宋体" w:hAnsi="宋体"/>
          <w:b/>
        </w:rPr>
        <w:t>.1.</w:t>
      </w:r>
      <w:r>
        <w:rPr>
          <w:rFonts w:ascii="宋体" w:eastAsia="宋体" w:hAnsi="宋体" w:hint="eastAsia"/>
          <w:b/>
        </w:rPr>
        <w:t>4</w:t>
      </w:r>
      <w:r>
        <w:rPr>
          <w:rFonts w:hint="eastAsia"/>
        </w:rPr>
        <w:t>风险管理机构对保险公司承担合同责任，按保险公司要求开展工作，向保险公司负责，风险管理机构应公正、独立、真实的向保险公司报告工程风险情况，及时的发现问题并跟踪整改情况，不得有隐瞒、拖延，并对服务过程中获取的各方商业信息保密。</w:t>
      </w:r>
    </w:p>
    <w:p w:rsidR="001C66B0" w:rsidRDefault="00D005FC">
      <w:pPr>
        <w:pStyle w:val="3"/>
        <w:numPr>
          <w:ilvl w:val="0"/>
          <w:numId w:val="0"/>
        </w:numPr>
      </w:pPr>
      <w:r>
        <w:rPr>
          <w:rFonts w:ascii="宋体" w:eastAsia="宋体" w:hAnsi="宋体" w:hint="eastAsia"/>
          <w:b/>
        </w:rPr>
        <w:t>5</w:t>
      </w:r>
      <w:r>
        <w:rPr>
          <w:rFonts w:ascii="宋体" w:eastAsia="宋体" w:hAnsi="宋体"/>
          <w:b/>
        </w:rPr>
        <w:t>.1.</w:t>
      </w:r>
      <w:r>
        <w:rPr>
          <w:rFonts w:ascii="宋体" w:eastAsia="宋体" w:hAnsi="宋体" w:hint="eastAsia"/>
          <w:b/>
        </w:rPr>
        <w:t xml:space="preserve">5 </w:t>
      </w:r>
      <w:r>
        <w:rPr>
          <w:rFonts w:hint="eastAsia"/>
        </w:rPr>
        <w:t>风险管理服务能够对建设行政主管部门监督管理起到辅助作用，本条文规定了风险管理机构对建设行政主管部门的工作配合要求。</w:t>
      </w:r>
    </w:p>
    <w:p w:rsidR="001C66B0" w:rsidRDefault="00D005FC">
      <w:pPr>
        <w:pStyle w:val="2"/>
        <w:spacing w:before="120"/>
      </w:pPr>
      <w:bookmarkStart w:id="171" w:name="_Toc176713697"/>
      <w:bookmarkStart w:id="172" w:name="_Toc175255614"/>
      <w:bookmarkStart w:id="173" w:name="_Toc176713147"/>
      <w:bookmarkStart w:id="174" w:name="_Toc176441841"/>
      <w:bookmarkStart w:id="175" w:name="_Toc105386370"/>
      <w:bookmarkStart w:id="176" w:name="_Toc106204374"/>
      <w:bookmarkStart w:id="177" w:name="_Toc175263864"/>
      <w:r>
        <w:rPr>
          <w:rFonts w:hint="eastAsia"/>
        </w:rPr>
        <w:t>风险管理服务人员要求</w:t>
      </w:r>
      <w:bookmarkEnd w:id="171"/>
      <w:bookmarkEnd w:id="172"/>
      <w:bookmarkEnd w:id="173"/>
      <w:bookmarkEnd w:id="174"/>
      <w:bookmarkEnd w:id="175"/>
      <w:bookmarkEnd w:id="176"/>
      <w:bookmarkEnd w:id="177"/>
    </w:p>
    <w:p w:rsidR="001C66B0" w:rsidRDefault="00D005FC">
      <w:pPr>
        <w:pStyle w:val="3"/>
        <w:numPr>
          <w:ilvl w:val="0"/>
          <w:numId w:val="0"/>
        </w:numPr>
      </w:pPr>
      <w:r>
        <w:rPr>
          <w:rFonts w:ascii="宋体" w:eastAsia="宋体" w:hAnsi="宋体" w:hint="eastAsia"/>
          <w:b/>
        </w:rPr>
        <w:t>5</w:t>
      </w:r>
      <w:r>
        <w:rPr>
          <w:rFonts w:ascii="宋体" w:eastAsia="宋体" w:hAnsi="宋体"/>
          <w:b/>
        </w:rPr>
        <w:t>.2.1</w:t>
      </w:r>
      <w:r>
        <w:rPr>
          <w:rFonts w:ascii="宋体" w:eastAsia="宋体" w:hAnsi="宋体" w:hint="eastAsia"/>
          <w:b/>
        </w:rPr>
        <w:t>～5</w:t>
      </w:r>
      <w:r>
        <w:rPr>
          <w:rFonts w:ascii="宋体" w:eastAsia="宋体" w:hAnsi="宋体"/>
          <w:b/>
        </w:rPr>
        <w:t>.2.7</w:t>
      </w:r>
      <w:r>
        <w:rPr>
          <w:rFonts w:hint="eastAsia"/>
        </w:rPr>
        <w:t>风险管理机构服务人员的专业水平直接影响服务效果，风险管理机构需选用技术水平高、经验丰富、符合资格要求的专业人员提供服务，人员岗位明确、职责清晰。本部分条文规定了风险管理机构根据技术和管理需求，在公司级管理层面，设置风险管理总工程师、风险管理项目经理、勘察设计风险管理工程师、施工质量风险管理工程师、施工安全风险管理工程师和回访期质量投诉技术调查工程师六个服务岗位，以及明确每个岗位人员的资格要求和职责。</w:t>
      </w:r>
    </w:p>
    <w:p w:rsidR="001C66B0" w:rsidRDefault="00D005FC">
      <w:pPr>
        <w:pStyle w:val="3"/>
        <w:numPr>
          <w:ilvl w:val="0"/>
          <w:numId w:val="0"/>
        </w:numPr>
        <w:rPr>
          <w:bCs/>
        </w:rPr>
      </w:pPr>
      <w:r>
        <w:rPr>
          <w:rFonts w:ascii="宋体" w:eastAsia="宋体" w:hAnsi="宋体" w:hint="eastAsia"/>
          <w:b/>
        </w:rPr>
        <w:t>5</w:t>
      </w:r>
      <w:r>
        <w:rPr>
          <w:rFonts w:ascii="宋体" w:eastAsia="宋体" w:hAnsi="宋体"/>
          <w:b/>
        </w:rPr>
        <w:t>.2.</w:t>
      </w:r>
      <w:r>
        <w:rPr>
          <w:rFonts w:ascii="宋体" w:eastAsia="宋体" w:hAnsi="宋体" w:hint="eastAsia"/>
          <w:b/>
        </w:rPr>
        <w:t>8～5</w:t>
      </w:r>
      <w:r>
        <w:rPr>
          <w:rFonts w:ascii="宋体" w:eastAsia="宋体" w:hAnsi="宋体"/>
          <w:b/>
        </w:rPr>
        <w:t>.2.</w:t>
      </w:r>
      <w:r>
        <w:rPr>
          <w:rFonts w:ascii="宋体" w:eastAsia="宋体" w:hAnsi="宋体" w:hint="eastAsia"/>
          <w:b/>
        </w:rPr>
        <w:t>9</w:t>
      </w:r>
      <w:r>
        <w:rPr>
          <w:rFonts w:hint="eastAsia"/>
        </w:rPr>
        <w:t>在公司级岗位设置的基础上，项目级管理层面，风险管理机构需针对具体投保项目组建</w:t>
      </w:r>
      <w:r>
        <w:rPr>
          <w:rStyle w:val="3Char"/>
          <w:rFonts w:hint="eastAsia"/>
        </w:rPr>
        <w:t>风险管理服务团队，</w:t>
      </w:r>
      <w:r>
        <w:rPr>
          <w:rFonts w:hint="eastAsia"/>
        </w:rPr>
        <w:t>根据不同的服务阶段和风险管理内容，服务团队又可分为勘察设计风险评估小组、施工过程和回访期风险评估小组、质量投诉技术调查小组三个小组，本条文规定了服务团队的组成成员和人数要求。</w:t>
      </w:r>
    </w:p>
    <w:p w:rsidR="001C66B0" w:rsidRDefault="00D005FC">
      <w:pPr>
        <w:pStyle w:val="3"/>
        <w:numPr>
          <w:ilvl w:val="0"/>
          <w:numId w:val="0"/>
        </w:numPr>
        <w:rPr>
          <w:rStyle w:val="3Char"/>
        </w:rPr>
      </w:pPr>
      <w:r>
        <w:rPr>
          <w:rFonts w:ascii="宋体" w:eastAsia="宋体" w:hAnsi="宋体" w:hint="eastAsia"/>
          <w:b/>
        </w:rPr>
        <w:t>5</w:t>
      </w:r>
      <w:r>
        <w:rPr>
          <w:rFonts w:ascii="宋体" w:eastAsia="宋体" w:hAnsi="宋体"/>
          <w:b/>
        </w:rPr>
        <w:t>.2.</w:t>
      </w:r>
      <w:r>
        <w:rPr>
          <w:rFonts w:ascii="宋体" w:eastAsia="宋体" w:hAnsi="宋体" w:hint="eastAsia"/>
          <w:b/>
        </w:rPr>
        <w:t>10</w:t>
      </w:r>
      <w:r>
        <w:rPr>
          <w:rFonts w:ascii="宋体" w:eastAsia="宋体" w:hAnsi="宋体"/>
          <w:b/>
        </w:rPr>
        <w:tab/>
      </w:r>
      <w:r>
        <w:rPr>
          <w:rStyle w:val="3Char"/>
          <w:rFonts w:hint="eastAsia"/>
        </w:rPr>
        <w:t>建筑工程质量安全综合保险的风险管理服务期较长，自勘察设计到回访期结束，服务期一般在四年以上，为保障前后工作的</w:t>
      </w:r>
      <w:r>
        <w:rPr>
          <w:rFonts w:hint="eastAsia"/>
        </w:rPr>
        <w:t>衔接</w:t>
      </w:r>
      <w:r>
        <w:rPr>
          <w:rStyle w:val="3Char"/>
          <w:rFonts w:hint="eastAsia"/>
        </w:rPr>
        <w:t>和一致性，达到最好的风险管理效果，服务团队需保持服务人员的稳定性。</w:t>
      </w:r>
    </w:p>
    <w:p w:rsidR="001C66B0" w:rsidRDefault="001C66B0">
      <w:pPr>
        <w:tabs>
          <w:tab w:val="left" w:pos="142"/>
        </w:tabs>
        <w:spacing w:line="360" w:lineRule="auto"/>
        <w:ind w:rightChars="-34" w:right="-71"/>
        <w:rPr>
          <w:rFonts w:asciiTheme="minorEastAsia" w:hAnsiTheme="minorEastAsia" w:cstheme="minorEastAsia"/>
          <w:bCs/>
        </w:rPr>
      </w:pPr>
    </w:p>
    <w:p w:rsidR="001C66B0" w:rsidRDefault="00D005FC">
      <w:pPr>
        <w:tabs>
          <w:tab w:val="left" w:pos="142"/>
        </w:tabs>
        <w:spacing w:line="360" w:lineRule="auto"/>
        <w:ind w:rightChars="-34" w:right="-71"/>
        <w:jc w:val="left"/>
        <w:rPr>
          <w:rFonts w:asciiTheme="minorEastAsia" w:hAnsiTheme="minorEastAsia" w:cstheme="minorEastAsia"/>
          <w:bCs/>
        </w:rPr>
      </w:pPr>
      <w:r>
        <w:rPr>
          <w:rFonts w:asciiTheme="minorEastAsia" w:hAnsiTheme="minorEastAsia" w:cstheme="minorEastAsia"/>
          <w:bCs/>
        </w:rPr>
        <w:br w:type="page"/>
      </w:r>
    </w:p>
    <w:p w:rsidR="001C66B0" w:rsidRDefault="00D005FC">
      <w:pPr>
        <w:pStyle w:val="1"/>
      </w:pPr>
      <w:bookmarkStart w:id="178" w:name="_Toc175263870"/>
      <w:bookmarkStart w:id="179" w:name="_Toc176441844"/>
      <w:bookmarkStart w:id="180" w:name="_Toc176713698"/>
      <w:bookmarkStart w:id="181" w:name="_Toc106204380"/>
      <w:bookmarkStart w:id="182" w:name="_Toc175255620"/>
      <w:bookmarkStart w:id="183" w:name="_Toc176713148"/>
      <w:r>
        <w:rPr>
          <w:rFonts w:hint="eastAsia"/>
        </w:rPr>
        <w:lastRenderedPageBreak/>
        <w:t>风险管理服务</w:t>
      </w:r>
      <w:bookmarkEnd w:id="178"/>
      <w:bookmarkEnd w:id="179"/>
      <w:bookmarkEnd w:id="180"/>
      <w:bookmarkEnd w:id="181"/>
      <w:bookmarkEnd w:id="182"/>
      <w:bookmarkEnd w:id="183"/>
    </w:p>
    <w:p w:rsidR="001C66B0" w:rsidRDefault="00D005FC">
      <w:pPr>
        <w:pStyle w:val="2"/>
        <w:spacing w:before="120"/>
      </w:pPr>
      <w:bookmarkStart w:id="184" w:name="_Toc176713149"/>
      <w:bookmarkStart w:id="185" w:name="_Toc176713699"/>
      <w:bookmarkStart w:id="186" w:name="_Toc175255621"/>
      <w:bookmarkStart w:id="187" w:name="_Toc175263871"/>
      <w:bookmarkStart w:id="188" w:name="_Toc176441845"/>
      <w:bookmarkStart w:id="189" w:name="_Toc106204381"/>
      <w:r>
        <w:rPr>
          <w:rFonts w:hint="eastAsia"/>
        </w:rPr>
        <w:t>一般规定</w:t>
      </w:r>
      <w:bookmarkEnd w:id="184"/>
      <w:bookmarkEnd w:id="185"/>
      <w:bookmarkEnd w:id="186"/>
      <w:bookmarkEnd w:id="187"/>
      <w:bookmarkEnd w:id="188"/>
      <w:bookmarkEnd w:id="189"/>
    </w:p>
    <w:p w:rsidR="001C66B0" w:rsidRDefault="00D005FC">
      <w:pPr>
        <w:pStyle w:val="3"/>
        <w:numPr>
          <w:ilvl w:val="2"/>
          <w:numId w:val="80"/>
        </w:numPr>
        <w:ind w:left="0"/>
      </w:pPr>
      <w:r>
        <w:t>建筑工程质量安全综合保险</w:t>
      </w:r>
      <w:r>
        <w:rPr>
          <w:rFonts w:hint="eastAsia"/>
        </w:rPr>
        <w:t>风险管理的主要目的是减少公司未来可能产生的理赔损失，其理赔损失因保险责任而产生，因此风险管理服务应围绕保险责任开展。基于风险管理服务外部性、随机性的工作特点，风险管理服务不能代替投保项目自身的管理体系，也无法发现所有的质量安全问题，因此风险管理服务应以预防为主，侧重于促进项目完善提高自身管理体系，从根本上减少和避免问题的发生，并结合现场巡查予以辅助加强，从而实现最佳的管控效果。</w:t>
      </w:r>
    </w:p>
    <w:p w:rsidR="001C66B0" w:rsidRDefault="00D005FC">
      <w:pPr>
        <w:pStyle w:val="3"/>
        <w:numPr>
          <w:ilvl w:val="2"/>
          <w:numId w:val="80"/>
        </w:numPr>
        <w:ind w:left="0"/>
      </w:pPr>
      <w:r>
        <w:rPr>
          <w:rFonts w:hint="eastAsia"/>
        </w:rPr>
        <w:t>本条文规定了风险管理机构的工作范围。由于保险商业机制的特点和市场化成本考虑，决定了风险管理机构主要是为保险公司防控保险责任范围内的风险，无法覆盖所有的工程质量安全风险问题。如果服务过程中发现保险责任范围外的风险，本着促进工程质量安全管理水平提升的原则，风险管理机构可以向相关方进行提示与建议。</w:t>
      </w:r>
    </w:p>
    <w:p w:rsidR="001C66B0" w:rsidRDefault="00D005FC">
      <w:pPr>
        <w:pStyle w:val="3"/>
        <w:numPr>
          <w:ilvl w:val="2"/>
          <w:numId w:val="80"/>
        </w:numPr>
        <w:ind w:left="0"/>
      </w:pPr>
      <w:r>
        <w:rPr>
          <w:rFonts w:hint="eastAsia"/>
        </w:rPr>
        <w:t>风险管理机构与投保项目不存在直接合同关系，而是基于保险公司与建设单位的保险合同进入投保项目，代表保险公司开展风险管理服务，因此由保险公司应做好风险管理服务的对接协调和过程管理工作。</w:t>
      </w:r>
    </w:p>
    <w:p w:rsidR="001C66B0" w:rsidRDefault="00D005FC">
      <w:pPr>
        <w:pStyle w:val="3"/>
        <w:numPr>
          <w:ilvl w:val="2"/>
          <w:numId w:val="80"/>
        </w:numPr>
        <w:ind w:left="0"/>
      </w:pPr>
      <w:r>
        <w:rPr>
          <w:rFonts w:hint="eastAsia"/>
        </w:rPr>
        <w:t>风险管理服务覆盖工程设计、施工到交付后的全过程，分为四个服务阶段，本条文规定了各个服务阶段的划分时点。</w:t>
      </w:r>
    </w:p>
    <w:p w:rsidR="001C66B0" w:rsidRDefault="001C66B0"/>
    <w:p w:rsidR="001C66B0" w:rsidRDefault="00D005FC">
      <w:pPr>
        <w:pStyle w:val="2"/>
        <w:spacing w:before="120"/>
      </w:pPr>
      <w:bookmarkStart w:id="190" w:name="_Toc106204382"/>
      <w:bookmarkStart w:id="191" w:name="_Toc175263872"/>
      <w:bookmarkStart w:id="192" w:name="_Toc175255622"/>
      <w:bookmarkStart w:id="193" w:name="_Toc176441846"/>
      <w:bookmarkStart w:id="194" w:name="_Toc176713150"/>
      <w:bookmarkStart w:id="195" w:name="_Toc176713700"/>
      <w:r>
        <w:t>工作依据</w:t>
      </w:r>
      <w:bookmarkEnd w:id="190"/>
      <w:bookmarkEnd w:id="191"/>
      <w:bookmarkEnd w:id="192"/>
      <w:bookmarkEnd w:id="193"/>
      <w:bookmarkEnd w:id="194"/>
      <w:bookmarkEnd w:id="195"/>
    </w:p>
    <w:p w:rsidR="001C66B0" w:rsidRDefault="00D005FC">
      <w:pPr>
        <w:pStyle w:val="3"/>
        <w:numPr>
          <w:ilvl w:val="2"/>
          <w:numId w:val="80"/>
        </w:numPr>
        <w:ind w:left="0"/>
      </w:pPr>
      <w:r>
        <w:rPr>
          <w:rFonts w:hint="eastAsia"/>
        </w:rPr>
        <w:t>本条文规定了风险管理服务工作开展的基本工作</w:t>
      </w:r>
      <w:r>
        <w:t>依据</w:t>
      </w:r>
      <w:r>
        <w:rPr>
          <w:rFonts w:hint="eastAsia"/>
        </w:rPr>
        <w:t>,除已有的法律法规和相关标准外，对空白领域或没有明确规定的领域，一些最新的工程科学研究成果也可以作为工作依据。</w:t>
      </w:r>
    </w:p>
    <w:p w:rsidR="001C66B0" w:rsidRDefault="00D005FC">
      <w:pPr>
        <w:pStyle w:val="3"/>
        <w:numPr>
          <w:ilvl w:val="2"/>
          <w:numId w:val="80"/>
        </w:numPr>
        <w:ind w:left="0"/>
      </w:pPr>
      <w:r>
        <w:rPr>
          <w:rFonts w:hint="eastAsia"/>
        </w:rPr>
        <w:t>其他风险管理服务的工作依据是指工程项目自身形成的一些文件，包括设计文件、许可文件、施工组织设计、监理规划等。风险管理服务前期，这类文件由风险管理机构作为检查内容进行审查，不作为工作依据；检查完成后，这类文件由风险管理机构作为指导施工检查的工作依据。</w:t>
      </w:r>
    </w:p>
    <w:p w:rsidR="001C66B0" w:rsidRDefault="00D005FC">
      <w:pPr>
        <w:pStyle w:val="2"/>
        <w:numPr>
          <w:ilvl w:val="0"/>
          <w:numId w:val="0"/>
        </w:numPr>
        <w:spacing w:before="120"/>
      </w:pPr>
      <w:bookmarkStart w:id="196" w:name="_Toc175255623"/>
      <w:bookmarkStart w:id="197" w:name="_Toc176441847"/>
      <w:bookmarkStart w:id="198" w:name="_Toc176713151"/>
      <w:bookmarkStart w:id="199" w:name="_Toc106204383"/>
      <w:bookmarkStart w:id="200" w:name="_Toc175263873"/>
      <w:bookmarkStart w:id="201" w:name="_Toc176713701"/>
      <w:r>
        <w:rPr>
          <w:rFonts w:hint="eastAsia"/>
        </w:rPr>
        <w:t>6</w:t>
      </w:r>
      <w:r>
        <w:t xml:space="preserve">.5 </w:t>
      </w:r>
      <w:r>
        <w:rPr>
          <w:rFonts w:hint="eastAsia"/>
        </w:rPr>
        <w:t>施工阶段风险管理服务</w:t>
      </w:r>
      <w:bookmarkEnd w:id="196"/>
      <w:bookmarkEnd w:id="197"/>
      <w:bookmarkEnd w:id="198"/>
      <w:bookmarkEnd w:id="199"/>
      <w:bookmarkEnd w:id="200"/>
      <w:bookmarkEnd w:id="201"/>
    </w:p>
    <w:p w:rsidR="001C66B0" w:rsidRDefault="00D005FC">
      <w:pPr>
        <w:pStyle w:val="3"/>
        <w:numPr>
          <w:ilvl w:val="0"/>
          <w:numId w:val="0"/>
        </w:numPr>
        <w:rPr>
          <w:bCs/>
        </w:rPr>
      </w:pPr>
      <w:r>
        <w:rPr>
          <w:rFonts w:hint="eastAsia"/>
          <w:b/>
        </w:rPr>
        <w:t>6</w:t>
      </w:r>
      <w:r>
        <w:rPr>
          <w:b/>
        </w:rPr>
        <w:t xml:space="preserve">.5.1   </w:t>
      </w:r>
      <w:r>
        <w:rPr>
          <w:rFonts w:hint="eastAsia"/>
        </w:rPr>
        <w:t>投保项目开工后,保险公司应及时组织召开入场交底会。入场交底会是风险管理机构在施工阶段与各参建单位的首次对接会议，建设单位、勘察单位、设计单位、施工单位、监理单位均参加，通过入场交底会建立现场工作联系配合机制，为下一步风险管理工作的实施打好基础。</w:t>
      </w:r>
    </w:p>
    <w:p w:rsidR="001C66B0" w:rsidRDefault="00D005FC">
      <w:pPr>
        <w:pStyle w:val="2"/>
        <w:numPr>
          <w:ilvl w:val="1"/>
          <w:numId w:val="81"/>
        </w:numPr>
        <w:spacing w:before="120"/>
      </w:pPr>
      <w:bookmarkStart w:id="202" w:name="_Toc176441848"/>
      <w:bookmarkStart w:id="203" w:name="_Toc106204384"/>
      <w:bookmarkStart w:id="204" w:name="_Toc175263874"/>
      <w:bookmarkStart w:id="205" w:name="_Toc175255624"/>
      <w:bookmarkStart w:id="206" w:name="_Toc176713702"/>
      <w:bookmarkStart w:id="207" w:name="_Toc176713152"/>
      <w:r>
        <w:rPr>
          <w:rFonts w:hint="eastAsia"/>
        </w:rPr>
        <w:t>回访阶段</w:t>
      </w:r>
      <w:bookmarkEnd w:id="202"/>
      <w:bookmarkEnd w:id="203"/>
      <w:bookmarkEnd w:id="204"/>
      <w:bookmarkEnd w:id="205"/>
      <w:r>
        <w:rPr>
          <w:rFonts w:hint="eastAsia"/>
        </w:rPr>
        <w:t>风险管理服务</w:t>
      </w:r>
      <w:bookmarkEnd w:id="206"/>
      <w:bookmarkEnd w:id="207"/>
    </w:p>
    <w:p w:rsidR="001C66B0" w:rsidRDefault="00D005FC">
      <w:pPr>
        <w:pStyle w:val="3"/>
        <w:numPr>
          <w:ilvl w:val="0"/>
          <w:numId w:val="0"/>
        </w:numPr>
        <w:rPr>
          <w:color w:val="FF0000"/>
        </w:rPr>
      </w:pPr>
      <w:r>
        <w:rPr>
          <w:rFonts w:hint="eastAsia"/>
          <w:b/>
        </w:rPr>
        <w:t>6</w:t>
      </w:r>
      <w:r>
        <w:rPr>
          <w:b/>
        </w:rPr>
        <w:t>.7.2</w:t>
      </w:r>
      <w:r>
        <w:rPr>
          <w:rFonts w:hint="eastAsia"/>
          <w:b/>
        </w:rPr>
        <w:t>～6</w:t>
      </w:r>
      <w:r>
        <w:rPr>
          <w:b/>
        </w:rPr>
        <w:t>.7.3</w:t>
      </w:r>
      <w:r>
        <w:rPr>
          <w:rFonts w:hint="eastAsia"/>
        </w:rPr>
        <w:t>风险管理机构回访阶段的工作主要分为两部分，一是进行常规的回访巡查服务，保障回访期风控服务的频次；二是</w:t>
      </w:r>
      <w:bookmarkStart w:id="208" w:name="_Hlk105394960"/>
      <w:r>
        <w:rPr>
          <w:rFonts w:hint="eastAsia"/>
        </w:rPr>
        <w:t>配合建设行政主管部门对属于保险责任内的质量投诉问题提供专业技术支持</w:t>
      </w:r>
      <w:bookmarkEnd w:id="208"/>
      <w:r>
        <w:rPr>
          <w:rFonts w:hint="eastAsia"/>
        </w:rPr>
        <w:t>，从技术层面协助主管部门高效化解回访期期内工程质量投诉纠纷，在回访期及早的发现和处理质量问题。</w:t>
      </w:r>
    </w:p>
    <w:p w:rsidR="001C66B0" w:rsidRDefault="00D005FC">
      <w:pPr>
        <w:pStyle w:val="2"/>
        <w:numPr>
          <w:ilvl w:val="1"/>
          <w:numId w:val="81"/>
        </w:numPr>
        <w:spacing w:before="120"/>
      </w:pPr>
      <w:bookmarkStart w:id="209" w:name="_Toc175255625"/>
      <w:bookmarkStart w:id="210" w:name="_Toc175263875"/>
      <w:bookmarkStart w:id="211" w:name="_Toc176713703"/>
      <w:bookmarkStart w:id="212" w:name="_Toc176713153"/>
      <w:bookmarkStart w:id="213" w:name="_Toc106204385"/>
      <w:bookmarkStart w:id="214" w:name="_Toc176441849"/>
      <w:r>
        <w:rPr>
          <w:rFonts w:hint="eastAsia"/>
        </w:rPr>
        <w:t>整改跟踪管理</w:t>
      </w:r>
      <w:bookmarkEnd w:id="209"/>
      <w:bookmarkEnd w:id="210"/>
      <w:bookmarkEnd w:id="211"/>
      <w:bookmarkEnd w:id="212"/>
      <w:bookmarkEnd w:id="213"/>
      <w:bookmarkEnd w:id="214"/>
    </w:p>
    <w:p w:rsidR="001C66B0" w:rsidRDefault="00D005FC">
      <w:pPr>
        <w:pStyle w:val="3"/>
        <w:numPr>
          <w:ilvl w:val="0"/>
          <w:numId w:val="0"/>
        </w:numPr>
        <w:rPr>
          <w:rFonts w:ascii="宋体" w:eastAsia="宋体" w:hAnsi="宋体"/>
          <w:bCs/>
          <w:szCs w:val="21"/>
        </w:rPr>
      </w:pPr>
      <w:r>
        <w:rPr>
          <w:rFonts w:hint="eastAsia"/>
          <w:b/>
        </w:rPr>
        <w:lastRenderedPageBreak/>
        <w:t>6</w:t>
      </w:r>
      <w:r>
        <w:rPr>
          <w:b/>
        </w:rPr>
        <w:t>.8.5</w:t>
      </w:r>
      <w:r>
        <w:rPr>
          <w:rFonts w:hint="eastAsia"/>
        </w:rPr>
        <w:t>设计文件是现场施工的基础，设计问题往往影响广泛、深入，其整改工作非常重要，但在实际操作中，设计问题存在整改协调难度大、整改时间滞后于施工进度等问题。因此，本条文规定至少1个月进行1次设计问题的整改跟踪，切实落实到相关部位按照变更后的设计文件施工合格为止。</w:t>
      </w:r>
      <w:r>
        <w:rPr>
          <w:rFonts w:ascii="宋体" w:eastAsia="宋体" w:hAnsi="宋体"/>
          <w:bCs/>
          <w:szCs w:val="21"/>
        </w:rPr>
        <w:br w:type="page"/>
      </w:r>
    </w:p>
    <w:p w:rsidR="001C66B0" w:rsidRDefault="00D005FC">
      <w:pPr>
        <w:pStyle w:val="1"/>
      </w:pPr>
      <w:bookmarkStart w:id="215" w:name="_Toc106204386"/>
      <w:bookmarkStart w:id="216" w:name="_Toc175255626"/>
      <w:bookmarkStart w:id="217" w:name="_Toc176441850"/>
      <w:bookmarkStart w:id="218" w:name="_Toc175263876"/>
      <w:bookmarkStart w:id="219" w:name="_Toc176713154"/>
      <w:bookmarkStart w:id="220" w:name="_Toc176713704"/>
      <w:r>
        <w:rPr>
          <w:rFonts w:hint="eastAsia"/>
        </w:rPr>
        <w:lastRenderedPageBreak/>
        <w:t>风险管理评估报告体系</w:t>
      </w:r>
      <w:bookmarkEnd w:id="215"/>
      <w:bookmarkEnd w:id="216"/>
      <w:bookmarkEnd w:id="217"/>
      <w:bookmarkEnd w:id="218"/>
      <w:bookmarkEnd w:id="219"/>
      <w:bookmarkEnd w:id="220"/>
    </w:p>
    <w:p w:rsidR="001C66B0" w:rsidRDefault="00D005FC">
      <w:pPr>
        <w:pStyle w:val="2"/>
        <w:numPr>
          <w:ilvl w:val="1"/>
          <w:numId w:val="81"/>
        </w:numPr>
        <w:spacing w:before="120"/>
      </w:pPr>
      <w:bookmarkStart w:id="221" w:name="_Toc176713155"/>
      <w:bookmarkStart w:id="222" w:name="_Toc175255627"/>
      <w:bookmarkStart w:id="223" w:name="_Toc176713705"/>
      <w:bookmarkStart w:id="224" w:name="_Toc175263877"/>
      <w:bookmarkStart w:id="225" w:name="_Toc106204387"/>
      <w:bookmarkStart w:id="226" w:name="_Toc176441851"/>
      <w:r>
        <w:rPr>
          <w:rFonts w:hint="eastAsia"/>
        </w:rPr>
        <w:t>一般规定</w:t>
      </w:r>
      <w:bookmarkEnd w:id="221"/>
      <w:bookmarkEnd w:id="222"/>
      <w:bookmarkEnd w:id="223"/>
      <w:bookmarkEnd w:id="224"/>
      <w:bookmarkEnd w:id="225"/>
      <w:bookmarkEnd w:id="226"/>
    </w:p>
    <w:p w:rsidR="001C66B0" w:rsidRDefault="00D005FC">
      <w:pPr>
        <w:pStyle w:val="3"/>
        <w:numPr>
          <w:ilvl w:val="2"/>
          <w:numId w:val="82"/>
        </w:numPr>
        <w:ind w:left="0"/>
      </w:pPr>
      <w:r>
        <w:rPr>
          <w:rFonts w:hint="eastAsia"/>
        </w:rPr>
        <w:t>风险管理服务机构出具的评估报告是风险管理工作的记录，是保险公司未来理赔和责任追偿的重要参考依据，要保障其真实、可追溯、不可修改，如确因发现错误需要撤回修改，要经过审批且留痕。</w:t>
      </w:r>
    </w:p>
    <w:p w:rsidR="001C66B0" w:rsidRDefault="001C66B0"/>
    <w:p w:rsidR="001C66B0" w:rsidRDefault="00D005FC">
      <w:r>
        <w:br w:type="page"/>
      </w:r>
    </w:p>
    <w:p w:rsidR="001C66B0" w:rsidRDefault="00D005FC">
      <w:pPr>
        <w:pStyle w:val="1"/>
      </w:pPr>
      <w:bookmarkStart w:id="227" w:name="_Toc175255628"/>
      <w:bookmarkStart w:id="228" w:name="_Toc176713706"/>
      <w:bookmarkStart w:id="229" w:name="_Toc176713156"/>
      <w:bookmarkStart w:id="230" w:name="_Toc175263878"/>
      <w:bookmarkStart w:id="231" w:name="_Toc106204388"/>
      <w:bookmarkStart w:id="232" w:name="_Toc176441852"/>
      <w:r>
        <w:rPr>
          <w:rFonts w:hint="eastAsia"/>
        </w:rPr>
        <w:lastRenderedPageBreak/>
        <w:t>保险风险等级评估</w:t>
      </w:r>
      <w:bookmarkEnd w:id="227"/>
      <w:bookmarkEnd w:id="228"/>
      <w:bookmarkEnd w:id="229"/>
      <w:bookmarkEnd w:id="230"/>
      <w:bookmarkEnd w:id="231"/>
      <w:bookmarkEnd w:id="232"/>
    </w:p>
    <w:p w:rsidR="001C66B0" w:rsidRDefault="00D005FC">
      <w:pPr>
        <w:pStyle w:val="2"/>
        <w:numPr>
          <w:ilvl w:val="1"/>
          <w:numId w:val="81"/>
        </w:numPr>
        <w:spacing w:before="120"/>
      </w:pPr>
      <w:bookmarkStart w:id="233" w:name="_Toc176713157"/>
      <w:bookmarkStart w:id="234" w:name="_Toc175263879"/>
      <w:bookmarkStart w:id="235" w:name="_Toc175255629"/>
      <w:bookmarkStart w:id="236" w:name="_Toc106204389"/>
      <w:bookmarkStart w:id="237" w:name="_Toc176713707"/>
      <w:bookmarkStart w:id="238" w:name="_Toc176441853"/>
      <w:r>
        <w:rPr>
          <w:rFonts w:hint="eastAsia"/>
        </w:rPr>
        <w:t>保险风险评估方法</w:t>
      </w:r>
      <w:bookmarkEnd w:id="233"/>
      <w:bookmarkEnd w:id="234"/>
      <w:bookmarkEnd w:id="235"/>
      <w:bookmarkEnd w:id="236"/>
      <w:bookmarkEnd w:id="237"/>
      <w:bookmarkEnd w:id="238"/>
    </w:p>
    <w:p w:rsidR="001C66B0" w:rsidRDefault="00D005FC">
      <w:pPr>
        <w:pStyle w:val="3"/>
        <w:numPr>
          <w:ilvl w:val="2"/>
          <w:numId w:val="80"/>
        </w:numPr>
        <w:ind w:left="0"/>
      </w:pPr>
      <w:r>
        <w:rPr>
          <w:rFonts w:hint="eastAsia"/>
        </w:rPr>
        <w:t>建筑工程质量安全综合保险风险管理服务主要目的是实现保险公司的降赔减损，因此对风险等级的评估，是根据风险状态导致未来保险公司发生保险责任范围内赔付的可能性和损失的严重性等因素评估确定，而对保险责任范围外的影响和后果不纳入评估范围，评估确定的风险等级并不能体现保险责任范围外风险发生的严重程度和情况，仅适用于保险公司的风险管理工作。</w:t>
      </w:r>
    </w:p>
    <w:p w:rsidR="001C66B0" w:rsidRDefault="00D005FC">
      <w:pPr>
        <w:pStyle w:val="3"/>
        <w:numPr>
          <w:ilvl w:val="2"/>
          <w:numId w:val="80"/>
        </w:numPr>
        <w:ind w:left="0"/>
      </w:pPr>
      <w:r>
        <w:rPr>
          <w:rFonts w:hint="eastAsia"/>
        </w:rPr>
        <w:t>风险管理机构风险等级评估包括两个层级，一是</w:t>
      </w:r>
      <w:r>
        <w:t>对</w:t>
      </w:r>
      <w:r>
        <w:rPr>
          <w:rFonts w:hint="eastAsia"/>
        </w:rPr>
        <w:t>发现的</w:t>
      </w:r>
      <w:r>
        <w:t>每项</w:t>
      </w:r>
      <w:r>
        <w:rPr>
          <w:rFonts w:hint="eastAsia"/>
        </w:rPr>
        <w:t>质量问题和安全隐患的风险等级评估，二是对工程项目整体质量安全风险情况的风险等级评估。</w:t>
      </w:r>
    </w:p>
    <w:p w:rsidR="001C66B0" w:rsidRDefault="00D005FC">
      <w:pPr>
        <w:pStyle w:val="2"/>
        <w:numPr>
          <w:ilvl w:val="1"/>
          <w:numId w:val="81"/>
        </w:numPr>
        <w:spacing w:before="120"/>
      </w:pPr>
      <w:bookmarkStart w:id="239" w:name="_Toc106204390"/>
      <w:bookmarkStart w:id="240" w:name="_Toc176713708"/>
      <w:bookmarkStart w:id="241" w:name="_Toc175255630"/>
      <w:bookmarkStart w:id="242" w:name="_Toc175263880"/>
      <w:bookmarkStart w:id="243" w:name="_Toc176441854"/>
      <w:bookmarkStart w:id="244" w:name="_Toc176713158"/>
      <w:r>
        <w:rPr>
          <w:rFonts w:hint="eastAsia"/>
        </w:rPr>
        <w:t>保险风险等级划分</w:t>
      </w:r>
      <w:bookmarkEnd w:id="239"/>
      <w:bookmarkEnd w:id="240"/>
      <w:bookmarkEnd w:id="241"/>
      <w:bookmarkEnd w:id="242"/>
      <w:bookmarkEnd w:id="243"/>
      <w:bookmarkEnd w:id="244"/>
    </w:p>
    <w:p w:rsidR="001C66B0" w:rsidRDefault="00D005FC">
      <w:pPr>
        <w:pStyle w:val="3"/>
        <w:numPr>
          <w:ilvl w:val="2"/>
          <w:numId w:val="80"/>
        </w:numPr>
        <w:ind w:left="0"/>
      </w:pPr>
      <w:r>
        <w:rPr>
          <w:rFonts w:hint="eastAsia"/>
        </w:rPr>
        <w:t>参照保险行业协会《建筑工程质量潜在缺陷保险质量风险控制机构工作规范》，建筑工程质量安全综合保险的质量风险等级划分为正常技术风险、轻微技术风险、中等技术风险、严重技术风险四个级别，以及未能确定风险等级情况下的风险保留状态。</w:t>
      </w:r>
    </w:p>
    <w:p w:rsidR="001C66B0" w:rsidRDefault="001C66B0"/>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D005FC">
      <w:pPr>
        <w:pStyle w:val="1"/>
      </w:pPr>
      <w:r>
        <w:rPr>
          <w:rFonts w:ascii="宋体" w:eastAsia="宋体" w:hAnsi="宋体"/>
          <w:szCs w:val="21"/>
        </w:rPr>
        <w:br w:type="page"/>
      </w:r>
      <w:bookmarkStart w:id="245" w:name="_Toc176441855"/>
      <w:bookmarkStart w:id="246" w:name="_Toc175255617"/>
      <w:bookmarkStart w:id="247" w:name="_Toc106204377"/>
      <w:bookmarkStart w:id="248" w:name="_Toc175263867"/>
      <w:bookmarkStart w:id="249" w:name="_Toc105386373"/>
      <w:bookmarkStart w:id="250" w:name="_Toc176713159"/>
      <w:bookmarkStart w:id="251" w:name="_Toc176713709"/>
      <w:r>
        <w:rPr>
          <w:rFonts w:hint="eastAsia"/>
        </w:rPr>
        <w:lastRenderedPageBreak/>
        <w:t>房屋维修机构资格及管理要求</w:t>
      </w:r>
      <w:bookmarkEnd w:id="245"/>
      <w:bookmarkEnd w:id="246"/>
      <w:bookmarkEnd w:id="247"/>
      <w:bookmarkEnd w:id="248"/>
      <w:bookmarkEnd w:id="249"/>
      <w:bookmarkEnd w:id="250"/>
      <w:bookmarkEnd w:id="251"/>
    </w:p>
    <w:p w:rsidR="001C66B0" w:rsidRDefault="00D005FC">
      <w:pPr>
        <w:pStyle w:val="2"/>
        <w:numPr>
          <w:ilvl w:val="1"/>
          <w:numId w:val="81"/>
        </w:numPr>
        <w:spacing w:before="120"/>
      </w:pPr>
      <w:bookmarkStart w:id="252" w:name="_Toc175263868"/>
      <w:bookmarkStart w:id="253" w:name="_Toc106204378"/>
      <w:bookmarkStart w:id="254" w:name="_Toc175255618"/>
      <w:bookmarkStart w:id="255" w:name="_Toc176713710"/>
      <w:bookmarkStart w:id="256" w:name="_Toc176713160"/>
      <w:bookmarkStart w:id="257" w:name="_Toc176441856"/>
      <w:bookmarkStart w:id="258" w:name="_Toc105386374"/>
      <w:r>
        <w:rPr>
          <w:rFonts w:hint="eastAsia"/>
        </w:rPr>
        <w:t>一般规定</w:t>
      </w:r>
      <w:bookmarkEnd w:id="252"/>
      <w:bookmarkEnd w:id="253"/>
      <w:bookmarkEnd w:id="254"/>
      <w:bookmarkEnd w:id="255"/>
      <w:bookmarkEnd w:id="256"/>
      <w:bookmarkEnd w:id="257"/>
      <w:bookmarkEnd w:id="258"/>
    </w:p>
    <w:p w:rsidR="001C66B0" w:rsidRDefault="00D005FC">
      <w:pPr>
        <w:pStyle w:val="3"/>
        <w:numPr>
          <w:ilvl w:val="0"/>
          <w:numId w:val="0"/>
        </w:numPr>
        <w:rPr>
          <w:bCs/>
        </w:rPr>
      </w:pPr>
      <w:r>
        <w:rPr>
          <w:rFonts w:hint="eastAsia"/>
          <w:b/>
        </w:rPr>
        <w:t>9</w:t>
      </w:r>
      <w:r>
        <w:rPr>
          <w:b/>
        </w:rPr>
        <w:t>.1.1</w:t>
      </w:r>
      <w:r>
        <w:rPr>
          <w:rFonts w:hint="eastAsia"/>
          <w:b/>
        </w:rPr>
        <w:t>～9</w:t>
      </w:r>
      <w:r>
        <w:rPr>
          <w:b/>
        </w:rPr>
        <w:t>.1.3</w:t>
      </w:r>
      <w:r>
        <w:rPr>
          <w:rFonts w:hint="eastAsia"/>
          <w:bCs/>
        </w:rPr>
        <w:t>在建筑工程质量安全综合保险的质量问题的理赔服务中，保险公司委托房屋维修机构来进行房屋质量问题的查勘、维修等工作，房屋维修机构的服务水平直接影响维修效果和房屋业主对理赔服务的满意度。保险公司要择优选择房屋维修机构，避免低价竞争影响维修效果，并做好对房屋维修机构的管理考核。</w:t>
      </w:r>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D005FC">
      <w:pPr>
        <w:tabs>
          <w:tab w:val="left" w:pos="142"/>
        </w:tabs>
        <w:spacing w:line="360" w:lineRule="auto"/>
        <w:ind w:rightChars="-34" w:right="-71"/>
        <w:rPr>
          <w:rFonts w:ascii="宋体" w:eastAsia="宋体" w:hAnsi="宋体" w:cstheme="minorEastAsia"/>
          <w:bCs/>
          <w:szCs w:val="21"/>
        </w:rPr>
      </w:pPr>
      <w:r>
        <w:rPr>
          <w:rFonts w:ascii="宋体" w:eastAsia="宋体" w:hAnsi="宋体" w:cstheme="minorEastAsia" w:hint="eastAsia"/>
          <w:bCs/>
          <w:szCs w:val="21"/>
        </w:rPr>
        <w:br w:type="page"/>
      </w:r>
    </w:p>
    <w:p w:rsidR="001C66B0" w:rsidRDefault="00D005FC">
      <w:pPr>
        <w:pStyle w:val="1"/>
        <w:ind w:firstLine="0"/>
      </w:pPr>
      <w:bookmarkStart w:id="259" w:name="_Toc176441857"/>
      <w:bookmarkStart w:id="260" w:name="_Toc106204391"/>
      <w:bookmarkStart w:id="261" w:name="_Toc175263881"/>
      <w:bookmarkStart w:id="262" w:name="_Toc175255631"/>
      <w:bookmarkStart w:id="263" w:name="_Toc176713711"/>
      <w:bookmarkStart w:id="264" w:name="_Toc176713161"/>
      <w:r>
        <w:rPr>
          <w:rFonts w:hint="eastAsia"/>
        </w:rPr>
        <w:lastRenderedPageBreak/>
        <w:t>档案管理</w:t>
      </w:r>
      <w:bookmarkEnd w:id="259"/>
      <w:bookmarkEnd w:id="260"/>
      <w:bookmarkEnd w:id="261"/>
      <w:bookmarkEnd w:id="262"/>
      <w:bookmarkEnd w:id="263"/>
      <w:bookmarkEnd w:id="264"/>
    </w:p>
    <w:p w:rsidR="001C66B0" w:rsidRDefault="00D005FC">
      <w:pPr>
        <w:spacing w:line="360" w:lineRule="auto"/>
      </w:pPr>
      <w:r>
        <w:rPr>
          <w:rFonts w:asciiTheme="minorEastAsia" w:hAnsiTheme="minorEastAsia" w:hint="eastAsia"/>
          <w:b/>
          <w:bCs/>
        </w:rPr>
        <w:t>10</w:t>
      </w:r>
      <w:r>
        <w:rPr>
          <w:rFonts w:asciiTheme="minorEastAsia" w:hAnsiTheme="minorEastAsia"/>
          <w:b/>
          <w:bCs/>
        </w:rPr>
        <w:t>.0.1</w:t>
      </w:r>
      <w:r>
        <w:rPr>
          <w:rFonts w:hint="eastAsia"/>
        </w:rPr>
        <w:t>建筑工程质量安全综合保险自承保到理赔期结束，保险期间一</w:t>
      </w:r>
      <w:r>
        <w:rPr>
          <w:rFonts w:asciiTheme="majorEastAsia" w:eastAsiaTheme="majorEastAsia" w:hAnsiTheme="majorEastAsia" w:hint="eastAsia"/>
        </w:rPr>
        <w:t>般长达14年以上</w:t>
      </w:r>
      <w:r>
        <w:rPr>
          <w:rFonts w:hint="eastAsia"/>
        </w:rPr>
        <w:t>，且前期风险管理和后期理赔工作、追偿工作关联度高，因此相关服务资料应按照相关规范进行良好的档案管理。</w:t>
      </w:r>
    </w:p>
    <w:p w:rsidR="001C66B0" w:rsidRDefault="00D005FC">
      <w:pPr>
        <w:pStyle w:val="a6"/>
        <w:spacing w:line="360" w:lineRule="auto"/>
      </w:pPr>
      <w:r>
        <w:rPr>
          <w:rFonts w:asciiTheme="minorEastAsia" w:hAnsiTheme="minorEastAsia" w:hint="eastAsia"/>
          <w:b/>
          <w:bCs/>
        </w:rPr>
        <w:t>10</w:t>
      </w:r>
      <w:r>
        <w:rPr>
          <w:rFonts w:asciiTheme="minorEastAsia" w:hAnsiTheme="minorEastAsia"/>
          <w:b/>
          <w:bCs/>
        </w:rPr>
        <w:t>.0.3</w:t>
      </w:r>
      <w:r>
        <w:rPr>
          <w:rFonts w:hint="eastAsia"/>
        </w:rPr>
        <w:t>风险管理的档案资料具有随时产生、持续增加、后期不易整理等特点，风险管理机构在服务开始后，就要注意逐步对服务资料进行收集、整理和归档，档案的收集应伴随整个服务过程。</w:t>
      </w:r>
    </w:p>
    <w:p w:rsidR="001C66B0" w:rsidRDefault="00D005FC">
      <w:pPr>
        <w:spacing w:line="360" w:lineRule="auto"/>
      </w:pPr>
      <w:r>
        <w:rPr>
          <w:rFonts w:asciiTheme="minorEastAsia" w:hAnsiTheme="minorEastAsia" w:hint="eastAsia"/>
          <w:b/>
          <w:bCs/>
        </w:rPr>
        <w:t>10</w:t>
      </w:r>
      <w:r>
        <w:rPr>
          <w:rFonts w:asciiTheme="minorEastAsia" w:hAnsiTheme="minorEastAsia"/>
          <w:b/>
          <w:bCs/>
        </w:rPr>
        <w:t>.0.6</w:t>
      </w:r>
      <w:r>
        <w:rPr>
          <w:rFonts w:hint="eastAsia"/>
        </w:rPr>
        <w:t>投保项目回访期结束后，风险管理机构的服务期相应终止，但风险管理机构仍需要做好保险公司对风险管理档案理赔调用的配合。</w:t>
      </w:r>
    </w:p>
    <w:p w:rsidR="001C66B0" w:rsidRDefault="001C66B0">
      <w:pPr>
        <w:tabs>
          <w:tab w:val="left" w:pos="142"/>
        </w:tabs>
        <w:spacing w:line="360" w:lineRule="auto"/>
        <w:ind w:rightChars="-34" w:right="-71"/>
        <w:rPr>
          <w:rFonts w:asciiTheme="minorEastAsia" w:hAnsiTheme="minorEastAsia" w:cstheme="minorEastAsia"/>
          <w:bCs/>
        </w:rPr>
      </w:pPr>
    </w:p>
    <w:p w:rsidR="001C66B0" w:rsidRDefault="00D005FC">
      <w:pPr>
        <w:tabs>
          <w:tab w:val="left" w:pos="142"/>
        </w:tabs>
        <w:spacing w:line="400" w:lineRule="exact"/>
        <w:ind w:rightChars="-34" w:right="-71"/>
        <w:jc w:val="left"/>
        <w:outlineLvl w:val="1"/>
        <w:rPr>
          <w:rFonts w:asciiTheme="minorEastAsia" w:hAnsiTheme="minorEastAsia" w:cstheme="minorEastAsia"/>
          <w:bCs/>
        </w:rPr>
      </w:pPr>
      <w:r>
        <w:rPr>
          <w:rFonts w:asciiTheme="minorEastAsia" w:hAnsiTheme="minorEastAsia" w:cstheme="minorEastAsia"/>
          <w:bCs/>
        </w:rPr>
        <w:br w:type="page"/>
      </w:r>
    </w:p>
    <w:p w:rsidR="001C66B0" w:rsidRDefault="00D005FC">
      <w:pPr>
        <w:pStyle w:val="1"/>
      </w:pPr>
      <w:bookmarkStart w:id="265" w:name="_Toc175255632"/>
      <w:bookmarkStart w:id="266" w:name="_Toc106204392"/>
      <w:bookmarkStart w:id="267" w:name="_Toc175263882"/>
      <w:bookmarkStart w:id="268" w:name="_Toc176441858"/>
      <w:bookmarkStart w:id="269" w:name="_Toc176713162"/>
      <w:bookmarkStart w:id="270" w:name="_Toc176713712"/>
      <w:r>
        <w:rPr>
          <w:rFonts w:hint="eastAsia"/>
        </w:rPr>
        <w:lastRenderedPageBreak/>
        <w:t>信息管理平台</w:t>
      </w:r>
      <w:bookmarkEnd w:id="265"/>
      <w:bookmarkEnd w:id="266"/>
      <w:bookmarkEnd w:id="267"/>
      <w:bookmarkEnd w:id="268"/>
      <w:bookmarkEnd w:id="269"/>
      <w:bookmarkEnd w:id="270"/>
    </w:p>
    <w:p w:rsidR="001C66B0" w:rsidRDefault="00D005FC">
      <w:pPr>
        <w:spacing w:line="360" w:lineRule="auto"/>
      </w:pPr>
      <w:r>
        <w:rPr>
          <w:rFonts w:asciiTheme="minorEastAsia" w:hAnsiTheme="minorEastAsia" w:hint="eastAsia"/>
          <w:b/>
          <w:bCs/>
        </w:rPr>
        <w:t>11</w:t>
      </w:r>
      <w:r>
        <w:rPr>
          <w:rFonts w:asciiTheme="minorEastAsia" w:hAnsiTheme="minorEastAsia"/>
          <w:b/>
          <w:bCs/>
        </w:rPr>
        <w:t>.0.1</w:t>
      </w:r>
      <w:r>
        <w:rPr>
          <w:rFonts w:hint="eastAsia"/>
        </w:rPr>
        <w:t>建筑工程质量安全综合保险的服务开展涉及多方的配合，采用统一的信息管理平台进行管理能够充分共享信息、提高协作效能。同时，建筑工程质量安全综合保险也是一个服务民生的准公共产品，为保障房屋所有者的权益，相关信息要上传至信息管理平台接受行政主管部门的监督管理。</w:t>
      </w:r>
    </w:p>
    <w:p w:rsidR="001C66B0" w:rsidRDefault="001C66B0">
      <w:pPr>
        <w:tabs>
          <w:tab w:val="left" w:pos="142"/>
        </w:tabs>
        <w:spacing w:line="360" w:lineRule="auto"/>
        <w:ind w:rightChars="-34" w:right="-71"/>
        <w:rPr>
          <w:rFonts w:ascii="宋体" w:eastAsia="宋体" w:hAnsi="宋体" w:cstheme="minorEastAsia"/>
          <w:bCs/>
          <w:szCs w:val="21"/>
        </w:rPr>
      </w:pPr>
    </w:p>
    <w:p w:rsidR="001C66B0" w:rsidRDefault="001C66B0">
      <w:pPr>
        <w:autoSpaceDE w:val="0"/>
        <w:autoSpaceDN w:val="0"/>
        <w:spacing w:before="5" w:after="1"/>
        <w:jc w:val="left"/>
        <w:rPr>
          <w:rFonts w:ascii="宋体" w:eastAsia="宋体" w:hAnsi="宋体" w:cs="宋体"/>
          <w:b/>
          <w:kern w:val="0"/>
          <w:sz w:val="28"/>
          <w:szCs w:val="24"/>
        </w:rPr>
      </w:pPr>
    </w:p>
    <w:sectPr w:rsidR="001C66B0" w:rsidSect="000F24AC">
      <w:footerReference w:type="default" r:id="rId15"/>
      <w:pgSz w:w="11910" w:h="16840"/>
      <w:pgMar w:top="1400" w:right="1220" w:bottom="1520" w:left="1400" w:header="995" w:footer="1323"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027F" w:rsidRDefault="0026027F">
      <w:r>
        <w:separator/>
      </w:r>
    </w:p>
  </w:endnote>
  <w:endnote w:type="continuationSeparator" w:id="0">
    <w:p w:rsidR="0026027F" w:rsidRDefault="002602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微软雅黑"/>
    <w:panose1 w:val="02010600030101010101"/>
    <w:charset w:val="86"/>
    <w:family w:val="modern"/>
    <w:notTrueType/>
    <w:pitch w:val="fixed"/>
    <w:sig w:usb0="00000000"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方正兰亭黑...">
    <w:altName w:val="微软雅黑"/>
    <w:charset w:val="86"/>
    <w:family w:val="swiss"/>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方正粗圆简体">
    <w:altName w:val="微软雅黑"/>
    <w:charset w:val="86"/>
    <w:family w:val="script"/>
    <w:pitch w:val="default"/>
    <w:sig w:usb0="00000000" w:usb1="00000000" w:usb2="00000010" w:usb3="00000000" w:csb0="00040000" w:csb1="00000000"/>
  </w:font>
  <w:font w:name="方正粗宋简体">
    <w:altName w:val="宋体"/>
    <w:charset w:val="86"/>
    <w:family w:val="script"/>
    <w:pitch w:val="default"/>
    <w:sig w:usb0="00000000" w:usb1="00000000" w:usb2="00000010" w:usb3="00000000" w:csb0="00040000"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中宋">
    <w:altName w:val="hakuyoxingshu7000"/>
    <w:charset w:val="86"/>
    <w:family w:val="auto"/>
    <w:pitch w:val="variable"/>
    <w:sig w:usb0="00000000" w:usb1="080F0000" w:usb2="00000010" w:usb3="00000000" w:csb0="0004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92717"/>
    </w:sdtPr>
    <w:sdtContent>
      <w:p w:rsidR="00D005FC" w:rsidRDefault="00D005FC">
        <w:pPr>
          <w:pStyle w:val="ae"/>
          <w:spacing w:before="120" w:after="120"/>
          <w:ind w:left="210" w:right="198" w:hanging="210"/>
        </w:pPr>
        <w:r w:rsidRPr="000F24AC">
          <w:fldChar w:fldCharType="begin"/>
        </w:r>
        <w:r>
          <w:instrText xml:space="preserve"> PAGE   \* MERGEFORMAT </w:instrText>
        </w:r>
        <w:r w:rsidRPr="000F24AC">
          <w:fldChar w:fldCharType="separate"/>
        </w:r>
        <w:r>
          <w:rPr>
            <w:lang w:val="zh-CN"/>
          </w:rPr>
          <w:t>IV</w:t>
        </w:r>
        <w:r>
          <w:rPr>
            <w:lang w:val="zh-CN"/>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92718"/>
    </w:sdtPr>
    <w:sdtContent>
      <w:p w:rsidR="00D005FC" w:rsidRDefault="00D005FC">
        <w:pPr>
          <w:pStyle w:val="ae"/>
        </w:pPr>
        <w:r w:rsidRPr="000F24AC">
          <w:fldChar w:fldCharType="begin"/>
        </w:r>
        <w:r>
          <w:instrText xml:space="preserve"> PAGE   \* MERGEFORMAT </w:instrText>
        </w:r>
        <w:r w:rsidRPr="000F24AC">
          <w:fldChar w:fldCharType="separate"/>
        </w:r>
        <w:r>
          <w:rPr>
            <w:lang w:val="zh-CN"/>
          </w:rPr>
          <w:t>I</w:t>
        </w:r>
        <w:r>
          <w:rPr>
            <w:lang w:val="zh-CN"/>
          </w:rPr>
          <w:fldChar w:fldCharType="end"/>
        </w:r>
      </w:p>
    </w:sdtContent>
  </w:sdt>
  <w:p w:rsidR="00D005FC" w:rsidRDefault="00D005FC">
    <w:pPr>
      <w:pStyle w:val="a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9037468"/>
    </w:sdtPr>
    <w:sdtContent>
      <w:p w:rsidR="00D005FC" w:rsidRDefault="00D005FC">
        <w:pPr>
          <w:pStyle w:val="ae"/>
        </w:pPr>
      </w:p>
    </w:sdtContent>
  </w:sdt>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9834113"/>
    </w:sdtPr>
    <w:sdtEndPr>
      <w:rPr>
        <w:rFonts w:asciiTheme="minorEastAsia" w:hAnsiTheme="minorEastAsia"/>
      </w:rPr>
    </w:sdtEndPr>
    <w:sdtContent>
      <w:p w:rsidR="00D005FC" w:rsidRDefault="00D005FC">
        <w:pPr>
          <w:pStyle w:val="ae"/>
          <w:jc w:val="center"/>
          <w:rPr>
            <w:rFonts w:asciiTheme="minorEastAsia" w:hAnsiTheme="minorEastAsia"/>
          </w:rPr>
        </w:pPr>
        <w:r>
          <w:rPr>
            <w:rFonts w:asciiTheme="minorEastAsia" w:hAnsiTheme="minorEastAsia"/>
          </w:rPr>
          <w:fldChar w:fldCharType="begin"/>
        </w:r>
        <w:r>
          <w:rPr>
            <w:rFonts w:asciiTheme="minorEastAsia" w:hAnsiTheme="minorEastAsia"/>
          </w:rPr>
          <w:instrText>PAGE   \* MERGEFORMAT</w:instrText>
        </w:r>
        <w:r>
          <w:rPr>
            <w:rFonts w:asciiTheme="minorEastAsia" w:hAnsiTheme="minorEastAsia"/>
          </w:rPr>
          <w:fldChar w:fldCharType="separate"/>
        </w:r>
        <w:r w:rsidR="00A550D1" w:rsidRPr="00A550D1">
          <w:rPr>
            <w:rFonts w:asciiTheme="minorEastAsia" w:hAnsiTheme="minorEastAsia"/>
            <w:noProof/>
            <w:lang w:val="zh-CN"/>
          </w:rPr>
          <w:t>6</w:t>
        </w:r>
        <w:r>
          <w:rPr>
            <w:rFonts w:asciiTheme="minorEastAsia" w:hAnsiTheme="minorEastAsia"/>
          </w:rPr>
          <w:fldChar w:fldCharType="end"/>
        </w:r>
      </w:p>
    </w:sdtContent>
  </w:sdt>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5FC" w:rsidRDefault="00D005FC">
    <w:pPr>
      <w:pStyle w:val="ae"/>
      <w:jc w:val="center"/>
      <w:rPr>
        <w:rFonts w:asciiTheme="minorEastAsia" w:hAnsiTheme="minorEastAsia"/>
      </w:rPr>
    </w:pPr>
    <w:r>
      <w:rPr>
        <w:rFonts w:asciiTheme="minorEastAsia" w:hAnsiTheme="minorEastAsia"/>
      </w:rPr>
      <w:fldChar w:fldCharType="begin"/>
    </w:r>
    <w:r>
      <w:rPr>
        <w:rFonts w:asciiTheme="minorEastAsia" w:hAnsiTheme="minorEastAsia"/>
      </w:rPr>
      <w:instrText>PAGE   \* MERGEFORMAT</w:instrText>
    </w:r>
    <w:r>
      <w:rPr>
        <w:rFonts w:asciiTheme="minorEastAsia" w:hAnsiTheme="minorEastAsia"/>
      </w:rPr>
      <w:fldChar w:fldCharType="separate"/>
    </w:r>
    <w:r w:rsidR="009871D1" w:rsidRPr="009871D1">
      <w:rPr>
        <w:rFonts w:asciiTheme="minorEastAsia" w:hAnsiTheme="minorEastAsia"/>
        <w:noProof/>
        <w:lang w:val="zh-CN"/>
      </w:rPr>
      <w:t>68</w:t>
    </w:r>
    <w:r>
      <w:rPr>
        <w:rFonts w:asciiTheme="minorEastAsia" w:hAnsiTheme="minorEastAsia"/>
      </w:rPr>
      <w:fldChar w:fldCharType="end"/>
    </w:r>
  </w:p>
  <w:p w:rsidR="00D005FC" w:rsidRDefault="00D005F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027F" w:rsidRDefault="0026027F">
      <w:r>
        <w:separator/>
      </w:r>
    </w:p>
  </w:footnote>
  <w:footnote w:type="continuationSeparator" w:id="0">
    <w:p w:rsidR="0026027F" w:rsidRDefault="002602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5FC" w:rsidRDefault="00D005FC">
    <w:pPr>
      <w:pStyle w:val="af6"/>
      <w:jc w:val="left"/>
    </w:pPr>
    <w:r>
      <w:t xml:space="preserve">T/QDAS </w:t>
    </w:r>
    <w:r>
      <w:rPr>
        <w:rFonts w:hint="eastAsia"/>
      </w:rPr>
      <w:t>045.1</w:t>
    </w:r>
    <w:r>
      <w:t>—</w:t>
    </w:r>
    <w:r>
      <w:t>20</w:t>
    </w:r>
    <w:r>
      <w:rPr>
        <w:rFonts w:hint="eastAsia"/>
      </w:rPr>
      <w:t>20</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5FC" w:rsidRDefault="00D005FC">
    <w:pPr>
      <w:pStyle w:val="af6"/>
    </w:pPr>
    <w:r>
      <w:t xml:space="preserve">T/QDAS </w:t>
    </w:r>
    <w:r>
      <w:rPr>
        <w:rFonts w:hint="eastAsia"/>
      </w:rPr>
      <w:t>045.1</w:t>
    </w:r>
    <w:r>
      <w:t>—</w:t>
    </w:r>
    <w:r>
      <w:t>20</w:t>
    </w:r>
    <w:r>
      <w:rPr>
        <w:rFonts w:hint="eastAsia"/>
      </w:rPr>
      <w:t>20</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D3FEA"/>
    <w:multiLevelType w:val="multilevel"/>
    <w:tmpl w:val="07ED3FEA"/>
    <w:lvl w:ilvl="0">
      <w:start w:val="1"/>
      <w:numFmt w:val="none"/>
      <w:pStyle w:val="a"/>
      <w:lvlText w:val="%1"/>
      <w:lvlJc w:val="left"/>
      <w:pPr>
        <w:ind w:left="425" w:hanging="425"/>
      </w:pPr>
      <w:rPr>
        <w:rFonts w:hint="eastAsia"/>
      </w:rPr>
    </w:lvl>
    <w:lvl w:ilvl="1">
      <w:start w:val="1"/>
      <w:numFmt w:val="decimal"/>
      <w:pStyle w:val="a0"/>
      <w:suff w:val="nothing"/>
      <w:lvlText w:val="%10.%2 "/>
      <w:lvlJc w:val="left"/>
      <w:pPr>
        <w:ind w:left="0" w:firstLine="0"/>
      </w:pPr>
      <w:rPr>
        <w:rFonts w:ascii="黑体" w:eastAsia="黑体" w:hAnsiTheme="minorHAnsi" w:hint="eastAsia"/>
        <w:b w:val="0"/>
        <w:i w:val="0"/>
        <w:sz w:val="21"/>
      </w:rPr>
    </w:lvl>
    <w:lvl w:ilvl="2">
      <w:start w:val="1"/>
      <w:numFmt w:val="decimal"/>
      <w:pStyle w:val="a1"/>
      <w:suff w:val="nothing"/>
      <w:lvlText w:val="%10.%2.%3 "/>
      <w:lvlJc w:val="left"/>
      <w:pPr>
        <w:ind w:left="0" w:firstLine="0"/>
      </w:pPr>
      <w:rPr>
        <w:rFonts w:ascii="黑体" w:eastAsia="黑体" w:hAnsiTheme="minorHAnsi" w:hint="eastAsia"/>
        <w:b w:val="0"/>
        <w:i w:val="0"/>
        <w:sz w:val="21"/>
      </w:rPr>
    </w:lvl>
    <w:lvl w:ilvl="3">
      <w:start w:val="1"/>
      <w:numFmt w:val="decimal"/>
      <w:pStyle w:val="a2"/>
      <w:suff w:val="nothing"/>
      <w:lvlText w:val="%10.%2.%3.%4 "/>
      <w:lvlJc w:val="left"/>
      <w:pPr>
        <w:ind w:left="0" w:firstLine="0"/>
      </w:pPr>
      <w:rPr>
        <w:rFonts w:ascii="黑体" w:eastAsia="黑体" w:hAnsiTheme="minorHAnsi" w:hint="eastAsia"/>
        <w:b w:val="0"/>
        <w:i w:val="0"/>
        <w:sz w:val="21"/>
      </w:rPr>
    </w:lvl>
    <w:lvl w:ilvl="4">
      <w:start w:val="1"/>
      <w:numFmt w:val="decimal"/>
      <w:pStyle w:val="a3"/>
      <w:suff w:val="nothing"/>
      <w:lvlText w:val="%10.%2.%3.%4.%5 "/>
      <w:lvlJc w:val="left"/>
      <w:pPr>
        <w:ind w:left="0" w:firstLine="0"/>
      </w:pPr>
      <w:rPr>
        <w:rFonts w:ascii="黑体" w:eastAsia="黑体" w:hAnsiTheme="minorHAnsi" w:hint="eastAsia"/>
        <w:b w:val="0"/>
        <w:i w:val="0"/>
        <w:sz w:val="21"/>
      </w:rPr>
    </w:lvl>
    <w:lvl w:ilvl="5">
      <w:start w:val="1"/>
      <w:numFmt w:val="decimal"/>
      <w:pStyle w:val="a4"/>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
    <w:nsid w:val="0A621127"/>
    <w:multiLevelType w:val="multilevel"/>
    <w:tmpl w:val="0A621127"/>
    <w:lvl w:ilvl="0">
      <w:start w:val="10"/>
      <w:numFmt w:val="decimal"/>
      <w:lvlText w:val="%1"/>
      <w:lvlJc w:val="center"/>
      <w:pPr>
        <w:ind w:left="0" w:firstLine="288"/>
      </w:pPr>
      <w:rPr>
        <w:rFonts w:hint="eastAsia"/>
      </w:rPr>
    </w:lvl>
    <w:lvl w:ilvl="1">
      <w:numFmt w:val="decimal"/>
      <w:lvlText w:val="%1.%2"/>
      <w:lvlJc w:val="left"/>
      <w:pPr>
        <w:ind w:left="0" w:firstLine="0"/>
      </w:pPr>
      <w:rPr>
        <w:rFonts w:hint="eastAsia"/>
        <w:b/>
        <w:bCs w:val="0"/>
      </w:rPr>
    </w:lvl>
    <w:lvl w:ilvl="2">
      <w:start w:val="1"/>
      <w:numFmt w:val="decimal"/>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 w:ilvl="3">
      <w:start w:val="1"/>
      <w:numFmt w:val="decimal"/>
      <w:lvlText w:val="%1.%2.%3.%4"/>
      <w:lvlJc w:val="left"/>
      <w:pPr>
        <w:ind w:left="0" w:firstLine="0"/>
      </w:pPr>
      <w:rPr>
        <w:rFonts w:hint="eastAsia"/>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2">
    <w:nsid w:val="12CE2047"/>
    <w:multiLevelType w:val="multilevel"/>
    <w:tmpl w:val="12CE2047"/>
    <w:lvl w:ilvl="0">
      <w:start w:val="1"/>
      <w:numFmt w:val="decimal"/>
      <w:lvlText w:val="%1"/>
      <w:lvlJc w:val="left"/>
      <w:pPr>
        <w:ind w:left="988" w:hanging="420"/>
      </w:pPr>
      <w:rPr>
        <w:rFonts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3">
    <w:nsid w:val="136E092B"/>
    <w:multiLevelType w:val="multilevel"/>
    <w:tmpl w:val="136E092B"/>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
    <w:nsid w:val="140A07ED"/>
    <w:multiLevelType w:val="multilevel"/>
    <w:tmpl w:val="140A07ED"/>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5">
    <w:nsid w:val="15B16A95"/>
    <w:multiLevelType w:val="multilevel"/>
    <w:tmpl w:val="15B16A95"/>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6">
    <w:nsid w:val="176C4AF5"/>
    <w:multiLevelType w:val="multilevel"/>
    <w:tmpl w:val="176C4AF5"/>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7">
    <w:nsid w:val="17E86412"/>
    <w:multiLevelType w:val="multilevel"/>
    <w:tmpl w:val="17E86412"/>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8">
    <w:nsid w:val="18077E1A"/>
    <w:multiLevelType w:val="multilevel"/>
    <w:tmpl w:val="18077E1A"/>
    <w:lvl w:ilvl="0">
      <w:start w:val="1"/>
      <w:numFmt w:val="decimal"/>
      <w:lvlText w:val="%1"/>
      <w:lvlJc w:val="left"/>
      <w:pPr>
        <w:ind w:left="630" w:hanging="630"/>
      </w:pPr>
      <w:rPr>
        <w:rFonts w:hint="default"/>
      </w:rPr>
    </w:lvl>
    <w:lvl w:ilvl="1">
      <w:numFmt w:val="decimal"/>
      <w:lvlText w:val="%1.%2"/>
      <w:lvlJc w:val="left"/>
      <w:pPr>
        <w:ind w:left="630" w:hanging="630"/>
      </w:pPr>
      <w:rPr>
        <w:rFonts w:hint="default"/>
      </w:rPr>
    </w:lvl>
    <w:lvl w:ilvl="2">
      <w:start w:val="1"/>
      <w:numFmt w:val="decimal"/>
      <w:lvlText w:val="2.%2.%3"/>
      <w:lvlJc w:val="left"/>
      <w:pPr>
        <w:ind w:left="720" w:hanging="720"/>
      </w:pPr>
      <w:rPr>
        <w:rFonts w:ascii="宋体" w:eastAsia="宋体" w:hAnsi="宋体" w:hint="default"/>
        <w:b/>
        <w:sz w:val="20"/>
      </w:rPr>
    </w:lvl>
    <w:lvl w:ilvl="3">
      <w:start w:val="1"/>
      <w:numFmt w:val="none"/>
      <w:lvlText w:val=""/>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nsid w:val="194100B7"/>
    <w:multiLevelType w:val="multilevel"/>
    <w:tmpl w:val="194100B7"/>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0">
    <w:nsid w:val="1DB97F71"/>
    <w:multiLevelType w:val="multilevel"/>
    <w:tmpl w:val="1DB97F71"/>
    <w:lvl w:ilvl="0">
      <w:start w:val="1"/>
      <w:numFmt w:val="decimal"/>
      <w:lvlText w:val="%1"/>
      <w:lvlJc w:val="left"/>
      <w:pPr>
        <w:ind w:left="630" w:hanging="630"/>
      </w:pPr>
      <w:rPr>
        <w:rFonts w:hint="default"/>
      </w:rPr>
    </w:lvl>
    <w:lvl w:ilvl="1">
      <w:numFmt w:val="decimal"/>
      <w:lvlText w:val="%1.%2"/>
      <w:lvlJc w:val="left"/>
      <w:pPr>
        <w:ind w:left="630" w:hanging="630"/>
      </w:pPr>
      <w:rPr>
        <w:rFonts w:hint="default"/>
      </w:rPr>
    </w:lvl>
    <w:lvl w:ilvl="2">
      <w:start w:val="1"/>
      <w:numFmt w:val="decimal"/>
      <w:pStyle w:val="4"/>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nsid w:val="1F4F4B46"/>
    <w:multiLevelType w:val="multilevel"/>
    <w:tmpl w:val="1F4F4B46"/>
    <w:lvl w:ilvl="0">
      <w:start w:val="1"/>
      <w:numFmt w:val="decimal"/>
      <w:suff w:val="space"/>
      <w:lvlText w:val="%1)"/>
      <w:lvlJc w:val="left"/>
      <w:pPr>
        <w:ind w:left="2955"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21CC39BD"/>
    <w:multiLevelType w:val="multilevel"/>
    <w:tmpl w:val="21CC39BD"/>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13">
    <w:nsid w:val="22164F09"/>
    <w:multiLevelType w:val="multilevel"/>
    <w:tmpl w:val="22164F09"/>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14">
    <w:nsid w:val="25A67C57"/>
    <w:multiLevelType w:val="multilevel"/>
    <w:tmpl w:val="25A67C57"/>
    <w:lvl w:ilvl="0">
      <w:start w:val="1"/>
      <w:numFmt w:val="decimal"/>
      <w:pStyle w:val="1"/>
      <w:lvlText w:val="%1"/>
      <w:lvlJc w:val="left"/>
      <w:pPr>
        <w:ind w:left="425" w:hanging="425"/>
      </w:pPr>
      <w:rPr>
        <w:rFonts w:eastAsia="宋体" w:hint="eastAsia"/>
        <w:b/>
        <w:sz w:val="21"/>
      </w:rPr>
    </w:lvl>
    <w:lvl w:ilvl="1">
      <w:start w:val="1"/>
      <w:numFmt w:val="decimal"/>
      <w:pStyle w:val="2"/>
      <w:lvlText w:val="%1.%2"/>
      <w:lvlJc w:val="left"/>
      <w:pPr>
        <w:ind w:left="992" w:hanging="567"/>
      </w:pPr>
      <w:rPr>
        <w:rFonts w:eastAsia="宋体" w:hint="eastAsia"/>
        <w:b/>
        <w:sz w:val="21"/>
      </w:rPr>
    </w:lvl>
    <w:lvl w:ilvl="2">
      <w:start w:val="1"/>
      <w:numFmt w:val="decimal"/>
      <w:pStyle w:val="3"/>
      <w:lvlText w:val="%1.%2.%3"/>
      <w:lvlJc w:val="left"/>
      <w:pPr>
        <w:ind w:left="1418" w:hanging="567"/>
      </w:pPr>
      <w:rPr>
        <w:rFonts w:eastAsia="宋体" w:hint="eastAsia"/>
        <w:b/>
        <w:sz w:val="21"/>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5">
    <w:nsid w:val="26AA1219"/>
    <w:multiLevelType w:val="multilevel"/>
    <w:tmpl w:val="26AA1219"/>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16">
    <w:nsid w:val="26F951A8"/>
    <w:multiLevelType w:val="multilevel"/>
    <w:tmpl w:val="26F951A8"/>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17">
    <w:nsid w:val="297D4E3D"/>
    <w:multiLevelType w:val="multilevel"/>
    <w:tmpl w:val="297D4E3D"/>
    <w:lvl w:ilvl="0">
      <w:start w:val="1"/>
      <w:numFmt w:val="decimal"/>
      <w:lvlText w:val="%1）"/>
      <w:lvlJc w:val="left"/>
      <w:pPr>
        <w:ind w:left="422" w:hanging="420"/>
      </w:pPr>
      <w:rPr>
        <w:rFonts w:hint="default"/>
      </w:rPr>
    </w:lvl>
    <w:lvl w:ilvl="1">
      <w:start w:val="1"/>
      <w:numFmt w:val="decimal"/>
      <w:suff w:val="space"/>
      <w:lvlText w:val="%2）"/>
      <w:lvlJc w:val="left"/>
      <w:pPr>
        <w:ind w:left="842" w:hanging="420"/>
      </w:pPr>
      <w:rPr>
        <w:rFonts w:hint="default"/>
      </w:rPr>
    </w:lvl>
    <w:lvl w:ilvl="2">
      <w:start w:val="1"/>
      <w:numFmt w:val="lowerRoman"/>
      <w:lvlText w:val="%3."/>
      <w:lvlJc w:val="right"/>
      <w:pPr>
        <w:ind w:left="1262" w:hanging="420"/>
      </w:pPr>
    </w:lvl>
    <w:lvl w:ilvl="3">
      <w:start w:val="1"/>
      <w:numFmt w:val="decimal"/>
      <w:lvlText w:val="%4."/>
      <w:lvlJc w:val="left"/>
      <w:pPr>
        <w:ind w:left="1682" w:hanging="420"/>
      </w:pPr>
    </w:lvl>
    <w:lvl w:ilvl="4">
      <w:start w:val="1"/>
      <w:numFmt w:val="lowerLetter"/>
      <w:lvlText w:val="%5)"/>
      <w:lvlJc w:val="left"/>
      <w:pPr>
        <w:ind w:left="2102" w:hanging="420"/>
      </w:pPr>
    </w:lvl>
    <w:lvl w:ilvl="5">
      <w:start w:val="1"/>
      <w:numFmt w:val="lowerRoman"/>
      <w:lvlText w:val="%6."/>
      <w:lvlJc w:val="right"/>
      <w:pPr>
        <w:ind w:left="2522" w:hanging="420"/>
      </w:pPr>
    </w:lvl>
    <w:lvl w:ilvl="6">
      <w:start w:val="1"/>
      <w:numFmt w:val="decimal"/>
      <w:lvlText w:val="%7."/>
      <w:lvlJc w:val="left"/>
      <w:pPr>
        <w:ind w:left="2942" w:hanging="420"/>
      </w:pPr>
    </w:lvl>
    <w:lvl w:ilvl="7">
      <w:start w:val="1"/>
      <w:numFmt w:val="lowerLetter"/>
      <w:lvlText w:val="%8)"/>
      <w:lvlJc w:val="left"/>
      <w:pPr>
        <w:ind w:left="3362" w:hanging="420"/>
      </w:pPr>
    </w:lvl>
    <w:lvl w:ilvl="8">
      <w:start w:val="1"/>
      <w:numFmt w:val="lowerRoman"/>
      <w:lvlText w:val="%9."/>
      <w:lvlJc w:val="right"/>
      <w:pPr>
        <w:ind w:left="3782" w:hanging="420"/>
      </w:pPr>
    </w:lvl>
  </w:abstractNum>
  <w:abstractNum w:abstractNumId="18">
    <w:nsid w:val="2981696E"/>
    <w:multiLevelType w:val="multilevel"/>
    <w:tmpl w:val="2981696E"/>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19">
    <w:nsid w:val="2A2C0A3E"/>
    <w:multiLevelType w:val="multilevel"/>
    <w:tmpl w:val="2A2C0A3E"/>
    <w:lvl w:ilvl="0">
      <w:start w:val="1"/>
      <w:numFmt w:val="decimal"/>
      <w:lvlText w:val="%1"/>
      <w:lvlJc w:val="left"/>
      <w:pPr>
        <w:ind w:left="988" w:hanging="420"/>
      </w:pPr>
      <w:rPr>
        <w:rFonts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0">
    <w:nsid w:val="2C840965"/>
    <w:multiLevelType w:val="multilevel"/>
    <w:tmpl w:val="2C840965"/>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1">
    <w:nsid w:val="2EC3312C"/>
    <w:multiLevelType w:val="multilevel"/>
    <w:tmpl w:val="2EC3312C"/>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2">
    <w:nsid w:val="317A4566"/>
    <w:multiLevelType w:val="multilevel"/>
    <w:tmpl w:val="317A4566"/>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3">
    <w:nsid w:val="32A64560"/>
    <w:multiLevelType w:val="multilevel"/>
    <w:tmpl w:val="32A64560"/>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35682446"/>
    <w:multiLevelType w:val="multilevel"/>
    <w:tmpl w:val="35682446"/>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5">
    <w:nsid w:val="35AA02B0"/>
    <w:multiLevelType w:val="multilevel"/>
    <w:tmpl w:val="35AA02B0"/>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6">
    <w:nsid w:val="36CB3A20"/>
    <w:multiLevelType w:val="multilevel"/>
    <w:tmpl w:val="36CB3A20"/>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7">
    <w:nsid w:val="383A410C"/>
    <w:multiLevelType w:val="multilevel"/>
    <w:tmpl w:val="383A410C"/>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8">
    <w:nsid w:val="384D22AD"/>
    <w:multiLevelType w:val="multilevel"/>
    <w:tmpl w:val="384D22AD"/>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29">
    <w:nsid w:val="38E849F4"/>
    <w:multiLevelType w:val="multilevel"/>
    <w:tmpl w:val="38E849F4"/>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0">
    <w:nsid w:val="39245C25"/>
    <w:multiLevelType w:val="multilevel"/>
    <w:tmpl w:val="39245C25"/>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1">
    <w:nsid w:val="3E5C1A63"/>
    <w:multiLevelType w:val="multilevel"/>
    <w:tmpl w:val="3E5C1A63"/>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32">
    <w:nsid w:val="401E6F03"/>
    <w:multiLevelType w:val="multilevel"/>
    <w:tmpl w:val="401E6F03"/>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33">
    <w:nsid w:val="406F3129"/>
    <w:multiLevelType w:val="multilevel"/>
    <w:tmpl w:val="406F3129"/>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408E5AFF"/>
    <w:multiLevelType w:val="multilevel"/>
    <w:tmpl w:val="408E5AFF"/>
    <w:lvl w:ilvl="0">
      <w:start w:val="1"/>
      <w:numFmt w:val="decimal"/>
      <w:lvlText w:val="%1"/>
      <w:lvlJc w:val="left"/>
      <w:pPr>
        <w:ind w:left="988" w:hanging="420"/>
      </w:pPr>
      <w:rPr>
        <w:rFonts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35">
    <w:nsid w:val="40D14567"/>
    <w:multiLevelType w:val="multilevel"/>
    <w:tmpl w:val="40D14567"/>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36">
    <w:nsid w:val="43986B99"/>
    <w:multiLevelType w:val="multilevel"/>
    <w:tmpl w:val="43986B99"/>
    <w:lvl w:ilvl="0">
      <w:start w:val="1"/>
      <w:numFmt w:val="decimal"/>
      <w:suff w:val="space"/>
      <w:lvlText w:val="%1)"/>
      <w:lvlJc w:val="left"/>
      <w:pPr>
        <w:ind w:left="1680" w:hanging="420"/>
      </w:pPr>
      <w:rPr>
        <w:rFonts w:hint="eastAsia"/>
        <w:color w:val="auto"/>
      </w:rPr>
    </w:lvl>
    <w:lvl w:ilvl="1">
      <w:start w:val="1"/>
      <w:numFmt w:val="lowerLetter"/>
      <w:lvlText w:val="%2)"/>
      <w:lvlJc w:val="left"/>
      <w:pPr>
        <w:ind w:left="-435" w:hanging="420"/>
      </w:pPr>
    </w:lvl>
    <w:lvl w:ilvl="2">
      <w:start w:val="1"/>
      <w:numFmt w:val="lowerRoman"/>
      <w:lvlText w:val="%3."/>
      <w:lvlJc w:val="right"/>
      <w:pPr>
        <w:ind w:left="-15" w:hanging="420"/>
      </w:pPr>
    </w:lvl>
    <w:lvl w:ilvl="3">
      <w:start w:val="1"/>
      <w:numFmt w:val="decimal"/>
      <w:lvlText w:val="%4."/>
      <w:lvlJc w:val="left"/>
      <w:pPr>
        <w:ind w:left="405" w:hanging="420"/>
      </w:pPr>
    </w:lvl>
    <w:lvl w:ilvl="4">
      <w:start w:val="1"/>
      <w:numFmt w:val="lowerLetter"/>
      <w:lvlText w:val="%5)"/>
      <w:lvlJc w:val="left"/>
      <w:pPr>
        <w:ind w:left="825" w:hanging="420"/>
      </w:pPr>
    </w:lvl>
    <w:lvl w:ilvl="5">
      <w:start w:val="1"/>
      <w:numFmt w:val="lowerRoman"/>
      <w:lvlText w:val="%6."/>
      <w:lvlJc w:val="right"/>
      <w:pPr>
        <w:ind w:left="1245" w:hanging="420"/>
      </w:pPr>
    </w:lvl>
    <w:lvl w:ilvl="6">
      <w:start w:val="1"/>
      <w:numFmt w:val="decimal"/>
      <w:lvlText w:val="%7."/>
      <w:lvlJc w:val="left"/>
      <w:pPr>
        <w:ind w:left="1665" w:hanging="420"/>
      </w:pPr>
    </w:lvl>
    <w:lvl w:ilvl="7">
      <w:start w:val="1"/>
      <w:numFmt w:val="lowerLetter"/>
      <w:lvlText w:val="%8)"/>
      <w:lvlJc w:val="left"/>
      <w:pPr>
        <w:ind w:left="2085" w:hanging="420"/>
      </w:pPr>
    </w:lvl>
    <w:lvl w:ilvl="8">
      <w:start w:val="1"/>
      <w:numFmt w:val="lowerRoman"/>
      <w:lvlText w:val="%9."/>
      <w:lvlJc w:val="right"/>
      <w:pPr>
        <w:ind w:left="2505" w:hanging="420"/>
      </w:pPr>
    </w:lvl>
  </w:abstractNum>
  <w:abstractNum w:abstractNumId="37">
    <w:nsid w:val="45B20003"/>
    <w:multiLevelType w:val="multilevel"/>
    <w:tmpl w:val="45B20003"/>
    <w:lvl w:ilvl="0">
      <w:start w:val="1"/>
      <w:numFmt w:val="decimal"/>
      <w:suff w:val="space"/>
      <w:lvlText w:val="%1."/>
      <w:lvlJc w:val="left"/>
      <w:pPr>
        <w:ind w:left="840" w:hanging="420"/>
      </w:pPr>
      <w:rPr>
        <w:rFonts w:hint="eastAsia"/>
        <w:lang w:val="en-US"/>
      </w:rPr>
    </w:lvl>
    <w:lvl w:ilvl="1">
      <w:start w:val="1"/>
      <w:numFmt w:val="decimal"/>
      <w:lvlText w:val="%2、"/>
      <w:lvlJc w:val="left"/>
      <w:pPr>
        <w:ind w:left="1200" w:hanging="360"/>
      </w:pPr>
      <w:rPr>
        <w:rFonts w:hint="default"/>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38">
    <w:nsid w:val="48314BBF"/>
    <w:multiLevelType w:val="multilevel"/>
    <w:tmpl w:val="48314BBF"/>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9">
    <w:nsid w:val="4A3A6069"/>
    <w:multiLevelType w:val="multilevel"/>
    <w:tmpl w:val="4A3A6069"/>
    <w:lvl w:ilvl="0">
      <w:start w:val="1"/>
      <w:numFmt w:val="decimal"/>
      <w:suff w:val="space"/>
      <w:lvlText w:val="%1)"/>
      <w:lvlJc w:val="left"/>
      <w:pPr>
        <w:ind w:left="1680" w:hanging="420"/>
      </w:pPr>
      <w:rPr>
        <w:rFonts w:hint="eastAsia"/>
        <w:color w:val="auto"/>
      </w:rPr>
    </w:lvl>
    <w:lvl w:ilvl="1">
      <w:start w:val="1"/>
      <w:numFmt w:val="lowerLetter"/>
      <w:lvlText w:val="%2)"/>
      <w:lvlJc w:val="left"/>
      <w:pPr>
        <w:ind w:left="-435" w:hanging="420"/>
      </w:pPr>
    </w:lvl>
    <w:lvl w:ilvl="2">
      <w:start w:val="1"/>
      <w:numFmt w:val="lowerRoman"/>
      <w:lvlText w:val="%3."/>
      <w:lvlJc w:val="right"/>
      <w:pPr>
        <w:ind w:left="-15" w:hanging="420"/>
      </w:pPr>
    </w:lvl>
    <w:lvl w:ilvl="3">
      <w:start w:val="1"/>
      <w:numFmt w:val="decimal"/>
      <w:lvlText w:val="%4."/>
      <w:lvlJc w:val="left"/>
      <w:pPr>
        <w:ind w:left="405" w:hanging="420"/>
      </w:pPr>
    </w:lvl>
    <w:lvl w:ilvl="4">
      <w:start w:val="1"/>
      <w:numFmt w:val="lowerLetter"/>
      <w:lvlText w:val="%5)"/>
      <w:lvlJc w:val="left"/>
      <w:pPr>
        <w:ind w:left="825" w:hanging="420"/>
      </w:pPr>
    </w:lvl>
    <w:lvl w:ilvl="5">
      <w:start w:val="1"/>
      <w:numFmt w:val="lowerRoman"/>
      <w:lvlText w:val="%6."/>
      <w:lvlJc w:val="right"/>
      <w:pPr>
        <w:ind w:left="1245" w:hanging="420"/>
      </w:pPr>
    </w:lvl>
    <w:lvl w:ilvl="6">
      <w:start w:val="1"/>
      <w:numFmt w:val="decimal"/>
      <w:lvlText w:val="%7."/>
      <w:lvlJc w:val="left"/>
      <w:pPr>
        <w:ind w:left="1665" w:hanging="420"/>
      </w:pPr>
    </w:lvl>
    <w:lvl w:ilvl="7">
      <w:start w:val="1"/>
      <w:numFmt w:val="lowerLetter"/>
      <w:lvlText w:val="%8)"/>
      <w:lvlJc w:val="left"/>
      <w:pPr>
        <w:ind w:left="2085" w:hanging="420"/>
      </w:pPr>
    </w:lvl>
    <w:lvl w:ilvl="8">
      <w:start w:val="1"/>
      <w:numFmt w:val="lowerRoman"/>
      <w:lvlText w:val="%9."/>
      <w:lvlJc w:val="right"/>
      <w:pPr>
        <w:ind w:left="2505" w:hanging="420"/>
      </w:pPr>
    </w:lvl>
  </w:abstractNum>
  <w:abstractNum w:abstractNumId="40">
    <w:nsid w:val="4BE31B3F"/>
    <w:multiLevelType w:val="multilevel"/>
    <w:tmpl w:val="4BE31B3F"/>
    <w:lvl w:ilvl="0">
      <w:start w:val="1"/>
      <w:numFmt w:val="decimal"/>
      <w:suff w:val="space"/>
      <w:lvlText w:val="%1)"/>
      <w:lvlJc w:val="left"/>
      <w:pPr>
        <w:ind w:left="1680" w:hanging="420"/>
      </w:pPr>
      <w:rPr>
        <w:rFonts w:hint="eastAsia"/>
      </w:rPr>
    </w:lvl>
    <w:lvl w:ilvl="1">
      <w:start w:val="1"/>
      <w:numFmt w:val="lowerLetter"/>
      <w:lvlText w:val="%2)"/>
      <w:lvlJc w:val="left"/>
      <w:pPr>
        <w:ind w:left="-435" w:hanging="420"/>
      </w:pPr>
    </w:lvl>
    <w:lvl w:ilvl="2">
      <w:start w:val="1"/>
      <w:numFmt w:val="lowerRoman"/>
      <w:lvlText w:val="%3."/>
      <w:lvlJc w:val="right"/>
      <w:pPr>
        <w:ind w:left="-15" w:hanging="420"/>
      </w:pPr>
    </w:lvl>
    <w:lvl w:ilvl="3">
      <w:start w:val="1"/>
      <w:numFmt w:val="decimal"/>
      <w:lvlText w:val="%4."/>
      <w:lvlJc w:val="left"/>
      <w:pPr>
        <w:ind w:left="405" w:hanging="420"/>
      </w:pPr>
    </w:lvl>
    <w:lvl w:ilvl="4">
      <w:start w:val="1"/>
      <w:numFmt w:val="lowerLetter"/>
      <w:lvlText w:val="%5)"/>
      <w:lvlJc w:val="left"/>
      <w:pPr>
        <w:ind w:left="825" w:hanging="420"/>
      </w:pPr>
    </w:lvl>
    <w:lvl w:ilvl="5">
      <w:start w:val="1"/>
      <w:numFmt w:val="lowerRoman"/>
      <w:lvlText w:val="%6."/>
      <w:lvlJc w:val="right"/>
      <w:pPr>
        <w:ind w:left="1245" w:hanging="420"/>
      </w:pPr>
    </w:lvl>
    <w:lvl w:ilvl="6">
      <w:start w:val="1"/>
      <w:numFmt w:val="decimal"/>
      <w:lvlText w:val="%7."/>
      <w:lvlJc w:val="left"/>
      <w:pPr>
        <w:ind w:left="1665" w:hanging="420"/>
      </w:pPr>
    </w:lvl>
    <w:lvl w:ilvl="7">
      <w:start w:val="1"/>
      <w:numFmt w:val="lowerLetter"/>
      <w:lvlText w:val="%8)"/>
      <w:lvlJc w:val="left"/>
      <w:pPr>
        <w:ind w:left="2085" w:hanging="420"/>
      </w:pPr>
    </w:lvl>
    <w:lvl w:ilvl="8">
      <w:start w:val="1"/>
      <w:numFmt w:val="lowerRoman"/>
      <w:lvlText w:val="%9."/>
      <w:lvlJc w:val="right"/>
      <w:pPr>
        <w:ind w:left="2505" w:hanging="420"/>
      </w:pPr>
    </w:lvl>
  </w:abstractNum>
  <w:abstractNum w:abstractNumId="41">
    <w:nsid w:val="4CAC1546"/>
    <w:multiLevelType w:val="multilevel"/>
    <w:tmpl w:val="4CAC1546"/>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2">
    <w:nsid w:val="4CC5598D"/>
    <w:multiLevelType w:val="multilevel"/>
    <w:tmpl w:val="4CC5598D"/>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3">
    <w:nsid w:val="4D1869DB"/>
    <w:multiLevelType w:val="multilevel"/>
    <w:tmpl w:val="4D1869DB"/>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4">
    <w:nsid w:val="4E1E15CA"/>
    <w:multiLevelType w:val="multilevel"/>
    <w:tmpl w:val="4E1E15CA"/>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5">
    <w:nsid w:val="54BE4302"/>
    <w:multiLevelType w:val="multilevel"/>
    <w:tmpl w:val="54BE4302"/>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6">
    <w:nsid w:val="56776BC2"/>
    <w:multiLevelType w:val="multilevel"/>
    <w:tmpl w:val="56776BC2"/>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7">
    <w:nsid w:val="56B77B95"/>
    <w:multiLevelType w:val="multilevel"/>
    <w:tmpl w:val="56B77B95"/>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8">
    <w:nsid w:val="588F3B6F"/>
    <w:multiLevelType w:val="multilevel"/>
    <w:tmpl w:val="588F3B6F"/>
    <w:lvl w:ilvl="0">
      <w:start w:val="1"/>
      <w:numFmt w:val="decimal"/>
      <w:lvlText w:val="%1"/>
      <w:lvlJc w:val="left"/>
      <w:pPr>
        <w:ind w:left="988" w:hanging="420"/>
      </w:pPr>
      <w:rPr>
        <w:rFonts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49">
    <w:nsid w:val="58B96888"/>
    <w:multiLevelType w:val="multilevel"/>
    <w:tmpl w:val="58B96888"/>
    <w:lvl w:ilvl="0">
      <w:start w:val="1"/>
      <w:numFmt w:val="decimal"/>
      <w:lvlText w:val="%1）"/>
      <w:lvlJc w:val="left"/>
      <w:pPr>
        <w:ind w:left="1695" w:hanging="420"/>
      </w:pPr>
      <w:rPr>
        <w:rFonts w:hint="default"/>
      </w:rPr>
    </w:lvl>
    <w:lvl w:ilvl="1">
      <w:start w:val="1"/>
      <w:numFmt w:val="lowerLetter"/>
      <w:lvlText w:val="%2)"/>
      <w:lvlJc w:val="left"/>
      <w:pPr>
        <w:ind w:left="2115" w:hanging="420"/>
      </w:pPr>
    </w:lvl>
    <w:lvl w:ilvl="2">
      <w:start w:val="1"/>
      <w:numFmt w:val="lowerRoman"/>
      <w:lvlText w:val="%3."/>
      <w:lvlJc w:val="right"/>
      <w:pPr>
        <w:ind w:left="2535" w:hanging="420"/>
      </w:pPr>
    </w:lvl>
    <w:lvl w:ilvl="3">
      <w:start w:val="1"/>
      <w:numFmt w:val="decimal"/>
      <w:suff w:val="space"/>
      <w:lvlText w:val="%4)"/>
      <w:lvlJc w:val="left"/>
      <w:pPr>
        <w:ind w:left="2955" w:hanging="420"/>
      </w:pPr>
      <w:rPr>
        <w:rFonts w:hint="eastAsia"/>
      </w:rPr>
    </w:lvl>
    <w:lvl w:ilvl="4">
      <w:start w:val="1"/>
      <w:numFmt w:val="lowerLetter"/>
      <w:lvlText w:val="%5)"/>
      <w:lvlJc w:val="left"/>
      <w:pPr>
        <w:ind w:left="3375" w:hanging="420"/>
      </w:pPr>
    </w:lvl>
    <w:lvl w:ilvl="5">
      <w:start w:val="1"/>
      <w:numFmt w:val="lowerRoman"/>
      <w:lvlText w:val="%6."/>
      <w:lvlJc w:val="right"/>
      <w:pPr>
        <w:ind w:left="3795" w:hanging="420"/>
      </w:pPr>
    </w:lvl>
    <w:lvl w:ilvl="6">
      <w:start w:val="1"/>
      <w:numFmt w:val="decimal"/>
      <w:lvlText w:val="%7."/>
      <w:lvlJc w:val="left"/>
      <w:pPr>
        <w:ind w:left="4215" w:hanging="420"/>
      </w:pPr>
    </w:lvl>
    <w:lvl w:ilvl="7">
      <w:start w:val="1"/>
      <w:numFmt w:val="lowerLetter"/>
      <w:lvlText w:val="%8)"/>
      <w:lvlJc w:val="left"/>
      <w:pPr>
        <w:ind w:left="4635" w:hanging="420"/>
      </w:pPr>
    </w:lvl>
    <w:lvl w:ilvl="8">
      <w:start w:val="1"/>
      <w:numFmt w:val="lowerRoman"/>
      <w:lvlText w:val="%9."/>
      <w:lvlJc w:val="right"/>
      <w:pPr>
        <w:ind w:left="5055" w:hanging="420"/>
      </w:pPr>
    </w:lvl>
  </w:abstractNum>
  <w:abstractNum w:abstractNumId="50">
    <w:nsid w:val="5A8D1409"/>
    <w:multiLevelType w:val="multilevel"/>
    <w:tmpl w:val="5A8D1409"/>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nsid w:val="5C9A49F0"/>
    <w:multiLevelType w:val="multilevel"/>
    <w:tmpl w:val="5C9A49F0"/>
    <w:lvl w:ilvl="0">
      <w:start w:val="1"/>
      <w:numFmt w:val="decimal"/>
      <w:lvlText w:val="%1)"/>
      <w:lvlJc w:val="left"/>
      <w:pPr>
        <w:ind w:left="1142"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52">
    <w:nsid w:val="61C51CF4"/>
    <w:multiLevelType w:val="multilevel"/>
    <w:tmpl w:val="61C51CF4"/>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3">
    <w:nsid w:val="637C51CF"/>
    <w:multiLevelType w:val="multilevel"/>
    <w:tmpl w:val="637C51CF"/>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4">
    <w:nsid w:val="64933003"/>
    <w:multiLevelType w:val="multilevel"/>
    <w:tmpl w:val="64933003"/>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5">
    <w:nsid w:val="65BA558C"/>
    <w:multiLevelType w:val="multilevel"/>
    <w:tmpl w:val="65BA558C"/>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6">
    <w:nsid w:val="6909432F"/>
    <w:multiLevelType w:val="multilevel"/>
    <w:tmpl w:val="6909432F"/>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7">
    <w:nsid w:val="69EB3577"/>
    <w:multiLevelType w:val="multilevel"/>
    <w:tmpl w:val="69EB3577"/>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58">
    <w:nsid w:val="6A877F2F"/>
    <w:multiLevelType w:val="multilevel"/>
    <w:tmpl w:val="6A877F2F"/>
    <w:lvl w:ilvl="0">
      <w:start w:val="1"/>
      <w:numFmt w:val="decimal"/>
      <w:suff w:val="space"/>
      <w:lvlText w:val="%1)"/>
      <w:lvlJc w:val="left"/>
      <w:pPr>
        <w:ind w:left="1680" w:hanging="420"/>
      </w:pPr>
      <w:rPr>
        <w:rFonts w:hint="eastAsia"/>
      </w:rPr>
    </w:lvl>
    <w:lvl w:ilvl="1">
      <w:start w:val="1"/>
      <w:numFmt w:val="lowerLetter"/>
      <w:lvlText w:val="%2)"/>
      <w:lvlJc w:val="left"/>
      <w:pPr>
        <w:ind w:left="-435" w:hanging="420"/>
      </w:pPr>
    </w:lvl>
    <w:lvl w:ilvl="2">
      <w:start w:val="1"/>
      <w:numFmt w:val="lowerRoman"/>
      <w:lvlText w:val="%3."/>
      <w:lvlJc w:val="right"/>
      <w:pPr>
        <w:ind w:left="-15" w:hanging="420"/>
      </w:pPr>
    </w:lvl>
    <w:lvl w:ilvl="3">
      <w:start w:val="1"/>
      <w:numFmt w:val="decimal"/>
      <w:lvlText w:val="%4."/>
      <w:lvlJc w:val="left"/>
      <w:pPr>
        <w:ind w:left="405" w:hanging="420"/>
      </w:pPr>
    </w:lvl>
    <w:lvl w:ilvl="4">
      <w:start w:val="1"/>
      <w:numFmt w:val="lowerLetter"/>
      <w:lvlText w:val="%5)"/>
      <w:lvlJc w:val="left"/>
      <w:pPr>
        <w:ind w:left="825" w:hanging="420"/>
      </w:pPr>
    </w:lvl>
    <w:lvl w:ilvl="5">
      <w:start w:val="1"/>
      <w:numFmt w:val="lowerRoman"/>
      <w:lvlText w:val="%6."/>
      <w:lvlJc w:val="right"/>
      <w:pPr>
        <w:ind w:left="1245" w:hanging="420"/>
      </w:pPr>
    </w:lvl>
    <w:lvl w:ilvl="6">
      <w:start w:val="1"/>
      <w:numFmt w:val="decimal"/>
      <w:lvlText w:val="%7."/>
      <w:lvlJc w:val="left"/>
      <w:pPr>
        <w:ind w:left="1665" w:hanging="420"/>
      </w:pPr>
    </w:lvl>
    <w:lvl w:ilvl="7">
      <w:start w:val="1"/>
      <w:numFmt w:val="lowerLetter"/>
      <w:lvlText w:val="%8)"/>
      <w:lvlJc w:val="left"/>
      <w:pPr>
        <w:ind w:left="2085" w:hanging="420"/>
      </w:pPr>
    </w:lvl>
    <w:lvl w:ilvl="8">
      <w:start w:val="1"/>
      <w:numFmt w:val="lowerRoman"/>
      <w:lvlText w:val="%9."/>
      <w:lvlJc w:val="right"/>
      <w:pPr>
        <w:ind w:left="2505" w:hanging="420"/>
      </w:pPr>
    </w:lvl>
  </w:abstractNum>
  <w:abstractNum w:abstractNumId="59">
    <w:nsid w:val="6AB60AC7"/>
    <w:multiLevelType w:val="multilevel"/>
    <w:tmpl w:val="6AB60AC7"/>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60">
    <w:nsid w:val="6AE11758"/>
    <w:multiLevelType w:val="multilevel"/>
    <w:tmpl w:val="6AE11758"/>
    <w:lvl w:ilvl="0">
      <w:start w:val="1"/>
      <w:numFmt w:val="lowerLetter"/>
      <w:lvlText w:val="%1)"/>
      <w:lvlJc w:val="left"/>
      <w:pPr>
        <w:ind w:left="1696" w:hanging="420"/>
      </w:pPr>
    </w:lvl>
    <w:lvl w:ilvl="1">
      <w:start w:val="1"/>
      <w:numFmt w:val="lowerLetter"/>
      <w:lvlText w:val="%2)"/>
      <w:lvlJc w:val="left"/>
      <w:pPr>
        <w:ind w:left="2116" w:hanging="420"/>
      </w:pPr>
    </w:lvl>
    <w:lvl w:ilvl="2">
      <w:start w:val="1"/>
      <w:numFmt w:val="lowerRoman"/>
      <w:lvlText w:val="%3."/>
      <w:lvlJc w:val="right"/>
      <w:pPr>
        <w:ind w:left="2536" w:hanging="420"/>
      </w:pPr>
    </w:lvl>
    <w:lvl w:ilvl="3">
      <w:start w:val="1"/>
      <w:numFmt w:val="lowerLetter"/>
      <w:lvlText w:val="%4)"/>
      <w:lvlJc w:val="left"/>
      <w:pPr>
        <w:ind w:left="2956" w:hanging="420"/>
      </w:pPr>
    </w:lvl>
    <w:lvl w:ilvl="4">
      <w:start w:val="1"/>
      <w:numFmt w:val="lowerLetter"/>
      <w:lvlText w:val="%5)"/>
      <w:lvlJc w:val="left"/>
      <w:pPr>
        <w:ind w:left="3376" w:hanging="420"/>
      </w:pPr>
    </w:lvl>
    <w:lvl w:ilvl="5">
      <w:start w:val="1"/>
      <w:numFmt w:val="lowerRoman"/>
      <w:lvlText w:val="%6."/>
      <w:lvlJc w:val="right"/>
      <w:pPr>
        <w:ind w:left="3796" w:hanging="420"/>
      </w:pPr>
    </w:lvl>
    <w:lvl w:ilvl="6">
      <w:start w:val="1"/>
      <w:numFmt w:val="decimal"/>
      <w:lvlText w:val="%7."/>
      <w:lvlJc w:val="left"/>
      <w:pPr>
        <w:ind w:left="4216" w:hanging="420"/>
      </w:pPr>
    </w:lvl>
    <w:lvl w:ilvl="7">
      <w:start w:val="1"/>
      <w:numFmt w:val="lowerLetter"/>
      <w:lvlText w:val="%8)"/>
      <w:lvlJc w:val="left"/>
      <w:pPr>
        <w:ind w:left="4636" w:hanging="420"/>
      </w:pPr>
    </w:lvl>
    <w:lvl w:ilvl="8">
      <w:start w:val="1"/>
      <w:numFmt w:val="lowerRoman"/>
      <w:lvlText w:val="%9."/>
      <w:lvlJc w:val="right"/>
      <w:pPr>
        <w:ind w:left="5056" w:hanging="420"/>
      </w:pPr>
    </w:lvl>
  </w:abstractNum>
  <w:abstractNum w:abstractNumId="61">
    <w:nsid w:val="6B501928"/>
    <w:multiLevelType w:val="multilevel"/>
    <w:tmpl w:val="6B501928"/>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2">
    <w:nsid w:val="6B641A64"/>
    <w:multiLevelType w:val="multilevel"/>
    <w:tmpl w:val="6B641A64"/>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3">
    <w:nsid w:val="6FEF0505"/>
    <w:multiLevelType w:val="multilevel"/>
    <w:tmpl w:val="6FEF0505"/>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64">
    <w:nsid w:val="73443F12"/>
    <w:multiLevelType w:val="multilevel"/>
    <w:tmpl w:val="73443F12"/>
    <w:lvl w:ilvl="0">
      <w:start w:val="11"/>
      <w:numFmt w:val="decimal"/>
      <w:lvlText w:val="%1"/>
      <w:lvlJc w:val="center"/>
      <w:pPr>
        <w:ind w:left="0" w:firstLine="288"/>
      </w:pPr>
      <w:rPr>
        <w:rFonts w:hint="eastAsia"/>
      </w:rPr>
    </w:lvl>
    <w:lvl w:ilvl="1">
      <w:numFmt w:val="decimal"/>
      <w:lvlText w:val="%1.%2"/>
      <w:lvlJc w:val="left"/>
      <w:pPr>
        <w:ind w:left="0" w:firstLine="0"/>
      </w:pPr>
      <w:rPr>
        <w:rFonts w:hint="eastAsia"/>
        <w:b/>
        <w:bCs w:val="0"/>
      </w:rPr>
    </w:lvl>
    <w:lvl w:ilvl="2">
      <w:start w:val="1"/>
      <w:numFmt w:val="decimal"/>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 w:ilvl="3">
      <w:start w:val="1"/>
      <w:numFmt w:val="decimal"/>
      <w:lvlText w:val="%1.%2.%3.%4"/>
      <w:lvlJc w:val="left"/>
      <w:pPr>
        <w:ind w:left="0" w:firstLine="0"/>
      </w:pPr>
      <w:rPr>
        <w:rFonts w:hint="eastAsia"/>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65">
    <w:nsid w:val="750801C8"/>
    <w:multiLevelType w:val="multilevel"/>
    <w:tmpl w:val="750801C8"/>
    <w:lvl w:ilvl="0">
      <w:start w:val="1"/>
      <w:numFmt w:val="decimal"/>
      <w:suff w:val="space"/>
      <w:lvlText w:val="%1)"/>
      <w:lvlJc w:val="left"/>
      <w:pPr>
        <w:ind w:left="1680" w:hanging="420"/>
      </w:pPr>
      <w:rPr>
        <w:rFonts w:hint="eastAsia"/>
        <w:color w:val="auto"/>
      </w:rPr>
    </w:lvl>
    <w:lvl w:ilvl="1">
      <w:start w:val="1"/>
      <w:numFmt w:val="lowerLetter"/>
      <w:lvlText w:val="%2)"/>
      <w:lvlJc w:val="left"/>
      <w:pPr>
        <w:ind w:left="-435" w:hanging="420"/>
      </w:pPr>
    </w:lvl>
    <w:lvl w:ilvl="2">
      <w:start w:val="1"/>
      <w:numFmt w:val="lowerRoman"/>
      <w:lvlText w:val="%3."/>
      <w:lvlJc w:val="right"/>
      <w:pPr>
        <w:ind w:left="-15" w:hanging="420"/>
      </w:pPr>
    </w:lvl>
    <w:lvl w:ilvl="3">
      <w:start w:val="1"/>
      <w:numFmt w:val="decimal"/>
      <w:lvlText w:val="%4."/>
      <w:lvlJc w:val="left"/>
      <w:pPr>
        <w:ind w:left="405" w:hanging="420"/>
      </w:pPr>
    </w:lvl>
    <w:lvl w:ilvl="4">
      <w:start w:val="1"/>
      <w:numFmt w:val="lowerLetter"/>
      <w:lvlText w:val="%5)"/>
      <w:lvlJc w:val="left"/>
      <w:pPr>
        <w:ind w:left="825" w:hanging="420"/>
      </w:pPr>
    </w:lvl>
    <w:lvl w:ilvl="5">
      <w:start w:val="1"/>
      <w:numFmt w:val="lowerRoman"/>
      <w:lvlText w:val="%6."/>
      <w:lvlJc w:val="right"/>
      <w:pPr>
        <w:ind w:left="1245" w:hanging="420"/>
      </w:pPr>
    </w:lvl>
    <w:lvl w:ilvl="6">
      <w:start w:val="1"/>
      <w:numFmt w:val="decimal"/>
      <w:lvlText w:val="%7."/>
      <w:lvlJc w:val="left"/>
      <w:pPr>
        <w:ind w:left="1665" w:hanging="420"/>
      </w:pPr>
    </w:lvl>
    <w:lvl w:ilvl="7">
      <w:start w:val="1"/>
      <w:numFmt w:val="lowerLetter"/>
      <w:lvlText w:val="%8)"/>
      <w:lvlJc w:val="left"/>
      <w:pPr>
        <w:ind w:left="2085" w:hanging="420"/>
      </w:pPr>
    </w:lvl>
    <w:lvl w:ilvl="8">
      <w:start w:val="1"/>
      <w:numFmt w:val="lowerRoman"/>
      <w:lvlText w:val="%9."/>
      <w:lvlJc w:val="right"/>
      <w:pPr>
        <w:ind w:left="2505" w:hanging="420"/>
      </w:pPr>
    </w:lvl>
  </w:abstractNum>
  <w:abstractNum w:abstractNumId="66">
    <w:nsid w:val="77AA1821"/>
    <w:multiLevelType w:val="multilevel"/>
    <w:tmpl w:val="77AA1821"/>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7">
    <w:nsid w:val="79AA3F82"/>
    <w:multiLevelType w:val="multilevel"/>
    <w:tmpl w:val="79AA3F82"/>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abstractNum w:abstractNumId="68">
    <w:nsid w:val="7C4251DD"/>
    <w:multiLevelType w:val="multilevel"/>
    <w:tmpl w:val="7C4251DD"/>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9">
    <w:nsid w:val="7C854CF4"/>
    <w:multiLevelType w:val="multilevel"/>
    <w:tmpl w:val="7C854CF4"/>
    <w:lvl w:ilvl="0">
      <w:start w:val="1"/>
      <w:numFmt w:val="decimal"/>
      <w:suff w:val="space"/>
      <w:lvlText w:val="%1）"/>
      <w:lvlJc w:val="left"/>
      <w:pPr>
        <w:ind w:left="842"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0">
    <w:nsid w:val="7F9A7E65"/>
    <w:multiLevelType w:val="multilevel"/>
    <w:tmpl w:val="7F9A7E65"/>
    <w:lvl w:ilvl="0">
      <w:start w:val="1"/>
      <w:numFmt w:val="decimal"/>
      <w:lvlText w:val="%1"/>
      <w:lvlJc w:val="left"/>
      <w:pPr>
        <w:ind w:left="988" w:hanging="420"/>
      </w:pPr>
      <w:rPr>
        <w:rFonts w:ascii="宋体" w:eastAsia="宋体" w:hAnsi="宋体" w:hint="default"/>
        <w:b/>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num w:numId="1">
    <w:abstractNumId w:val="14"/>
    <w:lvlOverride w:ilvl="0">
      <w:lvl w:ilvl="0">
        <w:start w:val="1"/>
        <w:numFmt w:val="decimal"/>
        <w:pStyle w:val="1"/>
        <w:lvlText w:val="%1"/>
        <w:lvlJc w:val="center"/>
        <w:pPr>
          <w:ind w:left="0" w:firstLine="288"/>
        </w:pPr>
        <w:rPr>
          <w:rFonts w:hint="eastAsia"/>
        </w:rPr>
      </w:lvl>
    </w:lvlOverride>
    <w:lvlOverride w:ilvl="1">
      <w:lvl w:ilvl="1" w:tentative="1">
        <w:start w:val="1"/>
        <w:numFmt w:val="decimal"/>
        <w:pStyle w:val="2"/>
        <w:lvlText w:val="%1.%2"/>
        <w:lvlJc w:val="left"/>
        <w:pPr>
          <w:ind w:left="0" w:firstLine="0"/>
        </w:pPr>
        <w:rPr>
          <w:rFonts w:hint="eastAsia"/>
          <w:b/>
          <w:bCs w:val="0"/>
        </w:rPr>
      </w:lvl>
    </w:lvlOverride>
    <w:lvlOverride w:ilvl="2">
      <w:lvl w:ilvl="2" w:tentative="1">
        <w:start w:val="1"/>
        <w:numFmt w:val="decimal"/>
        <w:pStyle w:val="3"/>
        <w:lvlText w:val="%1.%2.%3"/>
        <w:lvlJc w:val="left"/>
        <w:pPr>
          <w:ind w:left="0" w:firstLine="0"/>
        </w:pPr>
        <w:rPr>
          <w:rFonts w:hint="eastAsia"/>
          <w:b/>
          <w:bCs w:val="0"/>
          <w:i w:val="0"/>
          <w:iCs w:val="0"/>
          <w:caps w:val="0"/>
          <w:strike w:val="0"/>
          <w:dstrike w:val="0"/>
          <w:outline w:val="0"/>
          <w:shadow w:val="0"/>
          <w:emboss w:val="0"/>
          <w:imprint w:val="0"/>
          <w:vanish w:val="0"/>
          <w:color w:val="auto"/>
          <w:spacing w:val="0"/>
          <w:position w:val="0"/>
          <w:u w:val="none"/>
          <w:vertAlign w:val="baseline"/>
        </w:rPr>
      </w:lvl>
    </w:lvlOverride>
    <w:lvlOverride w:ilvl="3">
      <w:lvl w:ilvl="3" w:tentative="1">
        <w:start w:val="1"/>
        <w:numFmt w:val="decimal"/>
        <w:lvlText w:val="%1.%2.%3.%4"/>
        <w:lvlJc w:val="left"/>
        <w:pPr>
          <w:ind w:left="0" w:firstLine="0"/>
        </w:pPr>
        <w:rPr>
          <w:rFonts w:hint="eastAsia"/>
        </w:rPr>
      </w:lvl>
    </w:lvlOverride>
    <w:lvlOverride w:ilvl="4">
      <w:lvl w:ilvl="4" w:tentative="1">
        <w:start w:val="1"/>
        <w:numFmt w:val="decimal"/>
        <w:lvlText w:val="%1.%2.%3.%4.%5"/>
        <w:lvlJc w:val="left"/>
        <w:pPr>
          <w:ind w:left="0" w:firstLine="0"/>
        </w:pPr>
        <w:rPr>
          <w:rFonts w:hint="eastAsia"/>
        </w:rPr>
      </w:lvl>
    </w:lvlOverride>
    <w:lvlOverride w:ilvl="5">
      <w:lvl w:ilvl="5" w:tentative="1">
        <w:start w:val="1"/>
        <w:numFmt w:val="decimal"/>
        <w:lvlText w:val="%1.%2.%3.%4.%5.%6"/>
        <w:lvlJc w:val="left"/>
        <w:pPr>
          <w:ind w:left="0" w:firstLine="0"/>
        </w:pPr>
        <w:rPr>
          <w:rFonts w:hint="eastAsia"/>
        </w:rPr>
      </w:lvl>
    </w:lvlOverride>
    <w:lvlOverride w:ilvl="6">
      <w:lvl w:ilvl="6" w:tentative="1">
        <w:start w:val="1"/>
        <w:numFmt w:val="decimal"/>
        <w:lvlText w:val="%1.%2.%3.%4.%5.%6.%7"/>
        <w:lvlJc w:val="left"/>
        <w:pPr>
          <w:ind w:left="0" w:firstLine="0"/>
        </w:pPr>
        <w:rPr>
          <w:rFonts w:hint="eastAsia"/>
        </w:rPr>
      </w:lvl>
    </w:lvlOverride>
    <w:lvlOverride w:ilvl="7">
      <w:lvl w:ilvl="7" w:tentative="1">
        <w:start w:val="1"/>
        <w:numFmt w:val="decimal"/>
        <w:lvlText w:val="%1.%2.%3.%4.%5.%6.%7.%8"/>
        <w:lvlJc w:val="left"/>
        <w:pPr>
          <w:ind w:left="0" w:firstLine="0"/>
        </w:pPr>
        <w:rPr>
          <w:rFonts w:hint="eastAsia"/>
        </w:rPr>
      </w:lvl>
    </w:lvlOverride>
    <w:lvlOverride w:ilvl="8">
      <w:lvl w:ilvl="8" w:tentative="1">
        <w:start w:val="1"/>
        <w:numFmt w:val="decimal"/>
        <w:lvlText w:val="%1.%2.%3.%4.%5.%6.%7.%8.%9"/>
        <w:lvlJc w:val="left"/>
        <w:pPr>
          <w:ind w:left="0" w:firstLine="0"/>
        </w:pPr>
        <w:rPr>
          <w:rFonts w:hint="eastAsia"/>
        </w:rPr>
      </w:lvl>
    </w:lvlOverride>
  </w:num>
  <w:num w:numId="2">
    <w:abstractNumId w:val="14"/>
    <w:lvlOverride w:ilvl="0">
      <w:lvl w:ilvl="0" w:tentative="1">
        <w:start w:val="1"/>
        <w:numFmt w:val="decimal"/>
        <w:pStyle w:val="1"/>
        <w:lvlText w:val="%1"/>
        <w:lvlJc w:val="center"/>
        <w:pPr>
          <w:ind w:left="0" w:firstLine="288"/>
        </w:pPr>
        <w:rPr>
          <w:rFonts w:hint="eastAsia"/>
        </w:rPr>
      </w:lvl>
    </w:lvlOverride>
    <w:lvlOverride w:ilvl="1">
      <w:lvl w:ilvl="1">
        <w:start w:val="1"/>
        <w:numFmt w:val="decimal"/>
        <w:pStyle w:val="2"/>
        <w:lvlText w:val="%1.%2"/>
        <w:lvlJc w:val="left"/>
        <w:pPr>
          <w:ind w:left="0" w:firstLine="0"/>
        </w:pPr>
        <w:rPr>
          <w:rFonts w:hint="eastAsia"/>
          <w:b/>
          <w:bCs w:val="0"/>
        </w:rPr>
      </w:lvl>
    </w:lvlOverride>
    <w:lvlOverride w:ilvl="2">
      <w:lvl w:ilvl="2">
        <w:start w:val="1"/>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Override>
    <w:lvlOverride w:ilvl="3">
      <w:lvl w:ilvl="3" w:tentative="1">
        <w:start w:val="1"/>
        <w:numFmt w:val="decimal"/>
        <w:lvlText w:val="%1.%2.%3.%4"/>
        <w:lvlJc w:val="left"/>
        <w:pPr>
          <w:ind w:left="0" w:firstLine="0"/>
        </w:pPr>
        <w:rPr>
          <w:rFonts w:hint="eastAsia"/>
        </w:rPr>
      </w:lvl>
    </w:lvlOverride>
    <w:lvlOverride w:ilvl="4">
      <w:lvl w:ilvl="4" w:tentative="1">
        <w:start w:val="1"/>
        <w:numFmt w:val="decimal"/>
        <w:lvlText w:val="%1.%2.%3.%4.%5"/>
        <w:lvlJc w:val="left"/>
        <w:pPr>
          <w:ind w:left="0" w:firstLine="0"/>
        </w:pPr>
        <w:rPr>
          <w:rFonts w:hint="eastAsia"/>
        </w:rPr>
      </w:lvl>
    </w:lvlOverride>
    <w:lvlOverride w:ilvl="5">
      <w:lvl w:ilvl="5" w:tentative="1">
        <w:start w:val="1"/>
        <w:numFmt w:val="decimal"/>
        <w:lvlText w:val="%1.%2.%3.%4.%5.%6"/>
        <w:lvlJc w:val="left"/>
        <w:pPr>
          <w:ind w:left="0" w:firstLine="0"/>
        </w:pPr>
        <w:rPr>
          <w:rFonts w:hint="eastAsia"/>
        </w:rPr>
      </w:lvl>
    </w:lvlOverride>
    <w:lvlOverride w:ilvl="6">
      <w:lvl w:ilvl="6" w:tentative="1">
        <w:start w:val="1"/>
        <w:numFmt w:val="decimal"/>
        <w:lvlText w:val="%1.%2.%3.%4.%5.%6.%7"/>
        <w:lvlJc w:val="left"/>
        <w:pPr>
          <w:ind w:left="0" w:firstLine="0"/>
        </w:pPr>
        <w:rPr>
          <w:rFonts w:hint="eastAsia"/>
        </w:rPr>
      </w:lvl>
    </w:lvlOverride>
    <w:lvlOverride w:ilvl="7">
      <w:lvl w:ilvl="7" w:tentative="1">
        <w:start w:val="1"/>
        <w:numFmt w:val="decimal"/>
        <w:lvlText w:val="%1.%2.%3.%4.%5.%6.%7.%8"/>
        <w:lvlJc w:val="left"/>
        <w:pPr>
          <w:ind w:left="0" w:firstLine="0"/>
        </w:pPr>
        <w:rPr>
          <w:rFonts w:hint="eastAsia"/>
        </w:rPr>
      </w:lvl>
    </w:lvlOverride>
    <w:lvlOverride w:ilvl="8">
      <w:lvl w:ilvl="8" w:tentative="1">
        <w:start w:val="1"/>
        <w:numFmt w:val="decimal"/>
        <w:lvlText w:val="%1.%2.%3.%4.%5.%6.%7.%8.%9"/>
        <w:lvlJc w:val="left"/>
        <w:pPr>
          <w:ind w:left="0" w:firstLine="0"/>
        </w:pPr>
        <w:rPr>
          <w:rFonts w:hint="eastAsia"/>
        </w:rPr>
      </w:lvl>
    </w:lvlOverride>
  </w:num>
  <w:num w:numId="3">
    <w:abstractNumId w:val="10"/>
  </w:num>
  <w:num w:numId="4">
    <w:abstractNumId w:val="0"/>
  </w:num>
  <w:num w:numId="5">
    <w:abstractNumId w:val="8"/>
  </w:num>
  <w:num w:numId="6">
    <w:abstractNumId w:val="2"/>
  </w:num>
  <w:num w:numId="7">
    <w:abstractNumId w:val="18"/>
  </w:num>
  <w:num w:numId="8">
    <w:abstractNumId w:val="19"/>
  </w:num>
  <w:num w:numId="9">
    <w:abstractNumId w:val="48"/>
  </w:num>
  <w:num w:numId="10">
    <w:abstractNumId w:val="42"/>
  </w:num>
  <w:num w:numId="11">
    <w:abstractNumId w:val="7"/>
  </w:num>
  <w:num w:numId="12">
    <w:abstractNumId w:val="34"/>
  </w:num>
  <w:num w:numId="13">
    <w:abstractNumId w:val="49"/>
  </w:num>
  <w:num w:numId="14">
    <w:abstractNumId w:val="11"/>
  </w:num>
  <w:num w:numId="15">
    <w:abstractNumId w:val="40"/>
  </w:num>
  <w:num w:numId="16">
    <w:abstractNumId w:val="26"/>
  </w:num>
  <w:num w:numId="17">
    <w:abstractNumId w:val="63"/>
  </w:num>
  <w:num w:numId="18">
    <w:abstractNumId w:val="35"/>
  </w:num>
  <w:num w:numId="19">
    <w:abstractNumId w:val="20"/>
  </w:num>
  <w:num w:numId="20">
    <w:abstractNumId w:val="22"/>
  </w:num>
  <w:num w:numId="21">
    <w:abstractNumId w:val="24"/>
  </w:num>
  <w:num w:numId="22">
    <w:abstractNumId w:val="15"/>
  </w:num>
  <w:num w:numId="23">
    <w:abstractNumId w:val="27"/>
  </w:num>
  <w:num w:numId="24">
    <w:abstractNumId w:val="54"/>
  </w:num>
  <w:num w:numId="25">
    <w:abstractNumId w:val="21"/>
  </w:num>
  <w:num w:numId="26">
    <w:abstractNumId w:val="28"/>
  </w:num>
  <w:num w:numId="27">
    <w:abstractNumId w:val="46"/>
  </w:num>
  <w:num w:numId="28">
    <w:abstractNumId w:val="55"/>
  </w:num>
  <w:num w:numId="29">
    <w:abstractNumId w:val="3"/>
  </w:num>
  <w:num w:numId="30">
    <w:abstractNumId w:val="43"/>
  </w:num>
  <w:num w:numId="31">
    <w:abstractNumId w:val="56"/>
  </w:num>
  <w:num w:numId="32">
    <w:abstractNumId w:val="47"/>
  </w:num>
  <w:num w:numId="33">
    <w:abstractNumId w:val="44"/>
  </w:num>
  <w:num w:numId="34">
    <w:abstractNumId w:val="25"/>
  </w:num>
  <w:num w:numId="35">
    <w:abstractNumId w:val="32"/>
  </w:num>
  <w:num w:numId="36">
    <w:abstractNumId w:val="67"/>
  </w:num>
  <w:num w:numId="37">
    <w:abstractNumId w:val="13"/>
  </w:num>
  <w:num w:numId="38">
    <w:abstractNumId w:val="58"/>
  </w:num>
  <w:num w:numId="39">
    <w:abstractNumId w:val="57"/>
  </w:num>
  <w:num w:numId="40">
    <w:abstractNumId w:val="39"/>
  </w:num>
  <w:num w:numId="41">
    <w:abstractNumId w:val="65"/>
  </w:num>
  <w:num w:numId="42">
    <w:abstractNumId w:val="59"/>
  </w:num>
  <w:num w:numId="43">
    <w:abstractNumId w:val="45"/>
  </w:num>
  <w:num w:numId="44">
    <w:abstractNumId w:val="53"/>
  </w:num>
  <w:num w:numId="45">
    <w:abstractNumId w:val="36"/>
  </w:num>
  <w:num w:numId="46">
    <w:abstractNumId w:val="17"/>
  </w:num>
  <w:num w:numId="47">
    <w:abstractNumId w:val="61"/>
  </w:num>
  <w:num w:numId="48">
    <w:abstractNumId w:val="33"/>
  </w:num>
  <w:num w:numId="49">
    <w:abstractNumId w:val="69"/>
  </w:num>
  <w:num w:numId="50">
    <w:abstractNumId w:val="23"/>
  </w:num>
  <w:num w:numId="51">
    <w:abstractNumId w:val="68"/>
  </w:num>
  <w:num w:numId="52">
    <w:abstractNumId w:val="50"/>
  </w:num>
  <w:num w:numId="53">
    <w:abstractNumId w:val="66"/>
  </w:num>
  <w:num w:numId="54">
    <w:abstractNumId w:val="62"/>
  </w:num>
  <w:num w:numId="55">
    <w:abstractNumId w:val="52"/>
  </w:num>
  <w:num w:numId="56">
    <w:abstractNumId w:val="31"/>
  </w:num>
  <w:num w:numId="57">
    <w:abstractNumId w:val="70"/>
  </w:num>
  <w:num w:numId="58">
    <w:abstractNumId w:val="12"/>
  </w:num>
  <w:num w:numId="59">
    <w:abstractNumId w:val="1"/>
  </w:num>
  <w:num w:numId="60">
    <w:abstractNumId w:val="41"/>
  </w:num>
  <w:num w:numId="61">
    <w:abstractNumId w:val="64"/>
  </w:num>
  <w:num w:numId="62">
    <w:abstractNumId w:val="16"/>
  </w:num>
  <w:num w:numId="63">
    <w:abstractNumId w:val="37"/>
  </w:num>
  <w:num w:numId="64">
    <w:abstractNumId w:val="9"/>
  </w:num>
  <w:num w:numId="65">
    <w:abstractNumId w:val="5"/>
  </w:num>
  <w:num w:numId="66">
    <w:abstractNumId w:val="60"/>
  </w:num>
  <w:num w:numId="67">
    <w:abstractNumId w:val="4"/>
  </w:num>
  <w:num w:numId="68">
    <w:abstractNumId w:val="38"/>
  </w:num>
  <w:num w:numId="69">
    <w:abstractNumId w:val="29"/>
  </w:num>
  <w:num w:numId="70">
    <w:abstractNumId w:val="51"/>
  </w:num>
  <w:num w:numId="71">
    <w:abstractNumId w:val="30"/>
  </w:num>
  <w:num w:numId="72">
    <w:abstractNumId w:val="6"/>
  </w:num>
  <w:num w:numId="73">
    <w:abstractNumId w:val="14"/>
    <w:lvlOverride w:ilvl="0">
      <w:startOverride w:val="1"/>
      <w:lvl w:ilvl="0">
        <w:start w:val="1"/>
        <w:numFmt w:val="decimal"/>
        <w:pStyle w:val="1"/>
        <w:lvlText w:val="%1"/>
        <w:lvlJc w:val="center"/>
        <w:pPr>
          <w:ind w:left="0" w:firstLine="288"/>
        </w:pPr>
        <w:rPr>
          <w:rFonts w:ascii="Times New Roman" w:eastAsia="宋体" w:hAnsi="Times New Roman" w:hint="eastAsia"/>
          <w:b/>
          <w:sz w:val="21"/>
        </w:rPr>
      </w:lvl>
    </w:lvlOverride>
    <w:lvlOverride w:ilvl="1">
      <w:startOverride w:val="1"/>
      <w:lvl w:ilvl="1" w:tentative="1">
        <w:start w:val="1"/>
        <w:numFmt w:val="decimal"/>
        <w:pStyle w:val="2"/>
        <w:lvlText w:val="%1.%2"/>
        <w:lvlJc w:val="left"/>
        <w:pPr>
          <w:ind w:left="0" w:firstLine="0"/>
        </w:pPr>
        <w:rPr>
          <w:rFonts w:ascii="Times New Roman" w:eastAsia="宋体" w:hAnsi="Times New Roman" w:hint="eastAsia"/>
          <w:b/>
          <w:bCs w:val="0"/>
          <w:sz w:val="21"/>
        </w:rPr>
      </w:lvl>
    </w:lvlOverride>
    <w:lvlOverride w:ilvl="2">
      <w:startOverride w:val="1"/>
      <w:lvl w:ilvl="2" w:tentative="1">
        <w:start w:val="1"/>
        <w:numFmt w:val="decimal"/>
        <w:pStyle w:val="3"/>
        <w:lvlText w:val="%1.%2.%3"/>
        <w:lvlJc w:val="left"/>
        <w:pPr>
          <w:ind w:left="0" w:firstLine="0"/>
        </w:pPr>
        <w:rPr>
          <w:rFonts w:ascii="Times New Roman" w:eastAsia="宋体" w:hAnsi="Times New Roman" w:hint="eastAsia"/>
          <w:b/>
          <w:bCs w:val="0"/>
          <w:i w:val="0"/>
          <w:iCs w:val="0"/>
          <w:caps w:val="0"/>
          <w:strike w:val="0"/>
          <w:dstrike w:val="0"/>
          <w:outline w:val="0"/>
          <w:shadow w:val="0"/>
          <w:emboss w:val="0"/>
          <w:imprint w:val="0"/>
          <w:vanish w:val="0"/>
          <w:color w:val="auto"/>
          <w:spacing w:val="0"/>
          <w:position w:val="0"/>
          <w:sz w:val="21"/>
          <w:u w:val="none"/>
          <w:vertAlign w:val="baseline"/>
        </w:rPr>
      </w:lvl>
    </w:lvlOverride>
    <w:lvlOverride w:ilvl="3">
      <w:startOverride w:val="1"/>
      <w:lvl w:ilvl="3" w:tentative="1">
        <w:start w:val="1"/>
        <w:numFmt w:val="decimal"/>
        <w:lvlText w:val="%1.%2.%3.%4"/>
        <w:lvlJc w:val="left"/>
        <w:pPr>
          <w:ind w:left="0" w:firstLine="0"/>
        </w:pPr>
      </w:lvl>
    </w:lvlOverride>
    <w:lvlOverride w:ilvl="4">
      <w:startOverride w:val="1"/>
      <w:lvl w:ilvl="4" w:tentative="1">
        <w:start w:val="1"/>
        <w:numFmt w:val="decimal"/>
        <w:lvlText w:val="%1.%2.%3.%4.%5"/>
        <w:lvlJc w:val="left"/>
        <w:pPr>
          <w:ind w:left="0" w:firstLine="0"/>
        </w:pPr>
      </w:lvl>
    </w:lvlOverride>
    <w:lvlOverride w:ilvl="5">
      <w:startOverride w:val="1"/>
      <w:lvl w:ilvl="5" w:tentative="1">
        <w:start w:val="1"/>
        <w:numFmt w:val="decimal"/>
        <w:lvlText w:val="%1.%2.%3.%4.%5.%6"/>
        <w:lvlJc w:val="left"/>
        <w:pPr>
          <w:ind w:left="0" w:firstLine="0"/>
        </w:pPr>
      </w:lvl>
    </w:lvlOverride>
    <w:lvlOverride w:ilvl="6">
      <w:startOverride w:val="1"/>
      <w:lvl w:ilvl="6" w:tentative="1">
        <w:start w:val="1"/>
        <w:numFmt w:val="decimal"/>
        <w:lvlText w:val="%1.%2.%3.%4.%5.%6.%7"/>
        <w:lvlJc w:val="left"/>
        <w:pPr>
          <w:ind w:left="0" w:firstLine="0"/>
        </w:pPr>
      </w:lvl>
    </w:lvlOverride>
    <w:lvlOverride w:ilvl="7">
      <w:startOverride w:val="1"/>
      <w:lvl w:ilvl="7" w:tentative="1">
        <w:start w:val="1"/>
        <w:numFmt w:val="decimal"/>
        <w:lvlText w:val="%1.%2.%3.%4.%5.%6.%7.%8"/>
        <w:lvlJc w:val="left"/>
        <w:pPr>
          <w:ind w:left="0" w:firstLine="0"/>
        </w:pPr>
      </w:lvl>
    </w:lvlOverride>
    <w:lvlOverride w:ilvl="8">
      <w:startOverride w:val="1"/>
      <w:lvl w:ilvl="8" w:tentative="1">
        <w:start w:val="1"/>
        <w:numFmt w:val="decimal"/>
        <w:lvlText w:val="%1.%2.%3.%4.%5.%6.%7.%8.%9"/>
        <w:lvlJc w:val="left"/>
        <w:pPr>
          <w:ind w:left="0" w:firstLine="0"/>
        </w:pPr>
      </w:lvl>
    </w:lvlOverride>
  </w:num>
  <w:num w:numId="74">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4"/>
    <w:lvlOverride w:ilvl="0">
      <w:lvl w:ilvl="0">
        <w:start w:val="1"/>
        <w:numFmt w:val="decimal"/>
        <w:pStyle w:val="1"/>
        <w:lvlText w:val="%1"/>
        <w:lvlJc w:val="center"/>
        <w:pPr>
          <w:ind w:left="0" w:firstLine="288"/>
        </w:pPr>
        <w:rPr>
          <w:rFonts w:ascii="Times New Roman" w:eastAsia="宋体" w:hAnsi="Times New Roman" w:hint="eastAsia"/>
          <w:b/>
          <w:sz w:val="21"/>
        </w:rPr>
      </w:lvl>
    </w:lvlOverride>
    <w:lvlOverride w:ilvl="1">
      <w:lvl w:ilvl="1" w:tentative="1">
        <w:start w:val="1"/>
        <w:numFmt w:val="decimal"/>
        <w:pStyle w:val="2"/>
        <w:lvlText w:val="%1.%2"/>
        <w:lvlJc w:val="left"/>
        <w:pPr>
          <w:ind w:left="0" w:firstLine="0"/>
        </w:pPr>
        <w:rPr>
          <w:rFonts w:ascii="Times New Roman" w:eastAsia="宋体" w:hAnsi="Times New Roman" w:hint="eastAsia"/>
          <w:b/>
          <w:bCs w:val="0"/>
          <w:sz w:val="21"/>
        </w:rPr>
      </w:lvl>
    </w:lvlOverride>
    <w:lvlOverride w:ilvl="2">
      <w:lvl w:ilvl="2" w:tentative="1">
        <w:start w:val="1"/>
        <w:numFmt w:val="decimal"/>
        <w:pStyle w:val="3"/>
        <w:lvlText w:val="%1.%2.%3"/>
        <w:lvlJc w:val="left"/>
        <w:pPr>
          <w:ind w:left="0" w:firstLine="0"/>
        </w:pPr>
        <w:rPr>
          <w:rFonts w:ascii="Times New Roman" w:eastAsia="宋体" w:hAnsi="Times New Roman" w:hint="eastAsia"/>
          <w:b/>
          <w:bCs w:val="0"/>
          <w:i w:val="0"/>
          <w:iCs w:val="0"/>
          <w:caps w:val="0"/>
          <w:strike w:val="0"/>
          <w:dstrike w:val="0"/>
          <w:outline w:val="0"/>
          <w:shadow w:val="0"/>
          <w:emboss w:val="0"/>
          <w:imprint w:val="0"/>
          <w:vanish w:val="0"/>
          <w:color w:val="auto"/>
          <w:spacing w:val="0"/>
          <w:position w:val="0"/>
          <w:sz w:val="21"/>
          <w:u w:val="none"/>
          <w:vertAlign w:val="baseline"/>
        </w:rPr>
      </w:lvl>
    </w:lvlOverride>
    <w:lvlOverride w:ilvl="3">
      <w:lvl w:ilvl="3" w:tentative="1">
        <w:start w:val="1"/>
        <w:numFmt w:val="decimal"/>
        <w:lvlText w:val="%1.%2.%3.%4"/>
        <w:lvlJc w:val="left"/>
        <w:pPr>
          <w:ind w:left="0" w:firstLine="0"/>
        </w:pPr>
      </w:lvl>
    </w:lvlOverride>
    <w:lvlOverride w:ilvl="4">
      <w:lvl w:ilvl="4" w:tentative="1">
        <w:start w:val="1"/>
        <w:numFmt w:val="decimal"/>
        <w:lvlText w:val="%1.%2.%3.%4.%5"/>
        <w:lvlJc w:val="left"/>
        <w:pPr>
          <w:ind w:left="0" w:firstLine="0"/>
        </w:pPr>
      </w:lvl>
    </w:lvlOverride>
    <w:lvlOverride w:ilvl="5">
      <w:lvl w:ilvl="5" w:tentative="1">
        <w:start w:val="1"/>
        <w:numFmt w:val="decimal"/>
        <w:lvlText w:val="%1.%2.%3.%4.%5.%6"/>
        <w:lvlJc w:val="left"/>
        <w:pPr>
          <w:ind w:left="0" w:firstLine="0"/>
        </w:pPr>
      </w:lvl>
    </w:lvlOverride>
    <w:lvlOverride w:ilvl="6">
      <w:lvl w:ilvl="6" w:tentative="1">
        <w:start w:val="1"/>
        <w:numFmt w:val="decimal"/>
        <w:lvlText w:val="%1.%2.%3.%4.%5.%6.%7"/>
        <w:lvlJc w:val="left"/>
        <w:pPr>
          <w:ind w:left="0" w:firstLine="0"/>
        </w:pPr>
      </w:lvl>
    </w:lvlOverride>
    <w:lvlOverride w:ilvl="7">
      <w:lvl w:ilvl="7" w:tentative="1">
        <w:start w:val="1"/>
        <w:numFmt w:val="decimal"/>
        <w:lvlText w:val="%1.%2.%3.%4.%5.%6.%7.%8"/>
        <w:lvlJc w:val="left"/>
        <w:pPr>
          <w:ind w:left="0" w:firstLine="0"/>
        </w:pPr>
      </w:lvl>
    </w:lvlOverride>
    <w:lvlOverride w:ilvl="8">
      <w:lvl w:ilvl="8" w:tentative="1">
        <w:start w:val="1"/>
        <w:numFmt w:val="decimal"/>
        <w:lvlText w:val="%1.%2.%3.%4.%5.%6.%7.%8.%9"/>
        <w:lvlJc w:val="left"/>
        <w:pPr>
          <w:ind w:left="0" w:firstLine="0"/>
        </w:pPr>
      </w:lvl>
    </w:lvlOverride>
  </w:num>
  <w:num w:numId="76">
    <w:abstractNumId w:val="14"/>
    <w:lvlOverride w:ilvl="0">
      <w:lvl w:ilvl="0" w:tentative="1">
        <w:start w:val="1"/>
        <w:numFmt w:val="decimal"/>
        <w:pStyle w:val="1"/>
        <w:lvlText w:val="%1"/>
        <w:lvlJc w:val="center"/>
        <w:pPr>
          <w:ind w:left="0" w:firstLine="288"/>
        </w:pPr>
        <w:rPr>
          <w:rFonts w:ascii="Times New Roman" w:eastAsia="宋体" w:hAnsi="Times New Roman" w:hint="eastAsia"/>
          <w:b/>
          <w:sz w:val="21"/>
        </w:rPr>
      </w:lvl>
    </w:lvlOverride>
    <w:lvlOverride w:ilvl="1">
      <w:lvl w:ilvl="1">
        <w:start w:val="1"/>
        <w:numFmt w:val="decimal"/>
        <w:pStyle w:val="2"/>
        <w:lvlText w:val="%1.%2"/>
        <w:lvlJc w:val="left"/>
        <w:pPr>
          <w:ind w:left="0" w:firstLine="0"/>
        </w:pPr>
        <w:rPr>
          <w:rFonts w:ascii="Times New Roman" w:eastAsia="宋体" w:hAnsi="Times New Roman" w:hint="eastAsia"/>
          <w:b/>
          <w:bCs w:val="0"/>
          <w:sz w:val="21"/>
        </w:rPr>
      </w:lvl>
    </w:lvlOverride>
    <w:lvlOverride w:ilvl="2">
      <w:lvl w:ilvl="2">
        <w:start w:val="1"/>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sz w:val="21"/>
          <w:u w:val="none"/>
          <w:vertAlign w:val="baseline"/>
        </w:rPr>
      </w:lvl>
    </w:lvlOverride>
    <w:lvlOverride w:ilvl="3">
      <w:lvl w:ilvl="3" w:tentative="1">
        <w:start w:val="1"/>
        <w:numFmt w:val="decimal"/>
        <w:lvlText w:val="%1.%2.%3.%4"/>
        <w:lvlJc w:val="left"/>
        <w:pPr>
          <w:ind w:left="0" w:firstLine="0"/>
        </w:pPr>
        <w:rPr>
          <w:rFonts w:hint="eastAsia"/>
        </w:rPr>
      </w:lvl>
    </w:lvlOverride>
    <w:lvlOverride w:ilvl="4">
      <w:lvl w:ilvl="4" w:tentative="1">
        <w:start w:val="1"/>
        <w:numFmt w:val="decimal"/>
        <w:lvlText w:val="%1.%2.%3.%4.%5"/>
        <w:lvlJc w:val="left"/>
        <w:pPr>
          <w:ind w:left="0" w:firstLine="0"/>
        </w:pPr>
        <w:rPr>
          <w:rFonts w:hint="eastAsia"/>
        </w:rPr>
      </w:lvl>
    </w:lvlOverride>
    <w:lvlOverride w:ilvl="5">
      <w:lvl w:ilvl="5" w:tentative="1">
        <w:start w:val="1"/>
        <w:numFmt w:val="decimal"/>
        <w:lvlText w:val="%1.%2.%3.%4.%5.%6"/>
        <w:lvlJc w:val="left"/>
        <w:pPr>
          <w:ind w:left="0" w:firstLine="0"/>
        </w:pPr>
        <w:rPr>
          <w:rFonts w:hint="eastAsia"/>
        </w:rPr>
      </w:lvl>
    </w:lvlOverride>
    <w:lvlOverride w:ilvl="6">
      <w:lvl w:ilvl="6" w:tentative="1">
        <w:start w:val="1"/>
        <w:numFmt w:val="decimal"/>
        <w:lvlText w:val="%1.%2.%3.%4.%5.%6.%7"/>
        <w:lvlJc w:val="left"/>
        <w:pPr>
          <w:ind w:left="0" w:firstLine="0"/>
        </w:pPr>
        <w:rPr>
          <w:rFonts w:hint="eastAsia"/>
        </w:rPr>
      </w:lvl>
    </w:lvlOverride>
    <w:lvlOverride w:ilvl="7">
      <w:lvl w:ilvl="7" w:tentative="1">
        <w:start w:val="1"/>
        <w:numFmt w:val="decimal"/>
        <w:lvlText w:val="%1.%2.%3.%4.%5.%6.%7.%8"/>
        <w:lvlJc w:val="left"/>
        <w:pPr>
          <w:ind w:left="0" w:firstLine="0"/>
        </w:pPr>
        <w:rPr>
          <w:rFonts w:hint="eastAsia"/>
        </w:rPr>
      </w:lvl>
    </w:lvlOverride>
    <w:lvlOverride w:ilvl="8">
      <w:lvl w:ilvl="8" w:tentative="1">
        <w:start w:val="1"/>
        <w:numFmt w:val="decimal"/>
        <w:lvlText w:val="%1.%2.%3.%4.%5.%6.%7.%8.%9"/>
        <w:lvlJc w:val="left"/>
        <w:pPr>
          <w:ind w:left="0" w:firstLine="0"/>
        </w:pPr>
        <w:rPr>
          <w:rFonts w:hint="eastAsia"/>
        </w:rPr>
      </w:lvl>
    </w:lvlOverride>
  </w:num>
  <w:num w:numId="77">
    <w:abstractNumId w:val="14"/>
    <w:lvlOverride w:ilvl="0">
      <w:startOverride w:val="3"/>
      <w:lvl w:ilvl="0" w:tentative="1">
        <w:start w:val="3"/>
        <w:numFmt w:val="decimal"/>
        <w:pStyle w:val="1"/>
        <w:lvlText w:val="%1"/>
        <w:lvlJc w:val="center"/>
        <w:pPr>
          <w:ind w:left="0" w:firstLine="288"/>
        </w:pPr>
        <w:rPr>
          <w:rFonts w:ascii="Times New Roman" w:eastAsia="宋体" w:hAnsi="Times New Roman" w:hint="eastAsia"/>
          <w:b/>
          <w:sz w:val="21"/>
        </w:rPr>
      </w:lvl>
    </w:lvlOverride>
    <w:lvlOverride w:ilvl="1">
      <w:startOverride w:val="2"/>
      <w:lvl w:ilvl="1" w:tentative="1">
        <w:start w:val="2"/>
        <w:numFmt w:val="decimal"/>
        <w:pStyle w:val="2"/>
        <w:lvlText w:val="%1.%2"/>
        <w:lvlJc w:val="left"/>
        <w:pPr>
          <w:ind w:left="0" w:firstLine="0"/>
        </w:pPr>
        <w:rPr>
          <w:rFonts w:ascii="Times New Roman" w:eastAsia="宋体" w:hAnsi="Times New Roman" w:hint="eastAsia"/>
          <w:b/>
          <w:bCs w:val="0"/>
          <w:sz w:val="21"/>
        </w:rPr>
      </w:lvl>
    </w:lvlOverride>
    <w:lvlOverride w:ilvl="2">
      <w:startOverride w:val="5"/>
      <w:lvl w:ilvl="2">
        <w:start w:val="5"/>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sz w:val="21"/>
          <w:u w:val="none"/>
          <w:vertAlign w:val="baseline"/>
        </w:rPr>
      </w:lvl>
    </w:lvlOverride>
    <w:lvlOverride w:ilvl="3">
      <w:startOverride w:val="1"/>
      <w:lvl w:ilvl="3" w:tentative="1">
        <w:start w:val="1"/>
        <w:numFmt w:val="decimal"/>
        <w:lvlText w:val="%1.%2.%3.%4"/>
        <w:lvlJc w:val="left"/>
        <w:pPr>
          <w:ind w:left="0" w:firstLine="0"/>
        </w:pPr>
        <w:rPr>
          <w:rFonts w:hint="eastAsia"/>
        </w:rPr>
      </w:lvl>
    </w:lvlOverride>
    <w:lvlOverride w:ilvl="4">
      <w:startOverride w:val="1"/>
      <w:lvl w:ilvl="4" w:tentative="1">
        <w:start w:val="1"/>
        <w:numFmt w:val="decimal"/>
        <w:lvlText w:val="%1.%2.%3.%4.%5"/>
        <w:lvlJc w:val="left"/>
        <w:pPr>
          <w:ind w:left="0" w:firstLine="0"/>
        </w:pPr>
        <w:rPr>
          <w:rFonts w:hint="eastAsia"/>
        </w:rPr>
      </w:lvl>
    </w:lvlOverride>
    <w:lvlOverride w:ilvl="5">
      <w:startOverride w:val="1"/>
      <w:lvl w:ilvl="5" w:tentative="1">
        <w:start w:val="1"/>
        <w:numFmt w:val="decimal"/>
        <w:lvlText w:val="%1.%2.%3.%4.%5.%6"/>
        <w:lvlJc w:val="left"/>
        <w:pPr>
          <w:ind w:left="0" w:firstLine="0"/>
        </w:pPr>
        <w:rPr>
          <w:rFonts w:hint="eastAsia"/>
        </w:rPr>
      </w:lvl>
    </w:lvlOverride>
    <w:lvlOverride w:ilvl="6">
      <w:startOverride w:val="1"/>
      <w:lvl w:ilvl="6" w:tentative="1">
        <w:start w:val="1"/>
        <w:numFmt w:val="decimal"/>
        <w:lvlText w:val="%1.%2.%3.%4.%5.%6.%7"/>
        <w:lvlJc w:val="left"/>
        <w:pPr>
          <w:ind w:left="0" w:firstLine="0"/>
        </w:pPr>
        <w:rPr>
          <w:rFonts w:hint="eastAsia"/>
        </w:rPr>
      </w:lvl>
    </w:lvlOverride>
    <w:lvlOverride w:ilvl="7">
      <w:startOverride w:val="1"/>
      <w:lvl w:ilvl="7" w:tentative="1">
        <w:start w:val="1"/>
        <w:numFmt w:val="decimal"/>
        <w:lvlText w:val="%1.%2.%3.%4.%5.%6.%7.%8"/>
        <w:lvlJc w:val="left"/>
        <w:pPr>
          <w:ind w:left="0" w:firstLine="0"/>
        </w:pPr>
        <w:rPr>
          <w:rFonts w:hint="eastAsia"/>
        </w:rPr>
      </w:lvl>
    </w:lvlOverride>
    <w:lvlOverride w:ilvl="8">
      <w:startOverride w:val="1"/>
      <w:lvl w:ilvl="8" w:tentative="1">
        <w:start w:val="1"/>
        <w:numFmt w:val="decimal"/>
        <w:lvlText w:val="%1.%2.%3.%4.%5.%6.%7.%8.%9"/>
        <w:lvlJc w:val="left"/>
        <w:pPr>
          <w:ind w:left="0" w:firstLine="0"/>
        </w:pPr>
        <w:rPr>
          <w:rFonts w:hint="eastAsia"/>
        </w:rPr>
      </w:lvl>
    </w:lvlOverride>
  </w:num>
  <w:num w:numId="78">
    <w:abstractNumId w:val="14"/>
    <w:lvlOverride w:ilvl="0">
      <w:startOverride w:val="3"/>
      <w:lvl w:ilvl="0" w:tentative="1">
        <w:start w:val="3"/>
        <w:numFmt w:val="decimal"/>
        <w:pStyle w:val="1"/>
        <w:lvlText w:val="%1"/>
        <w:lvlJc w:val="center"/>
        <w:pPr>
          <w:ind w:left="0" w:firstLine="288"/>
        </w:pPr>
        <w:rPr>
          <w:rFonts w:ascii="Times New Roman" w:eastAsia="宋体" w:hAnsi="Times New Roman" w:hint="eastAsia"/>
          <w:b/>
          <w:sz w:val="21"/>
        </w:rPr>
      </w:lvl>
    </w:lvlOverride>
    <w:lvlOverride w:ilvl="1">
      <w:startOverride w:val="3"/>
      <w:lvl w:ilvl="1" w:tentative="1">
        <w:start w:val="3"/>
        <w:numFmt w:val="decimal"/>
        <w:pStyle w:val="2"/>
        <w:lvlText w:val="%1.%2"/>
        <w:lvlJc w:val="left"/>
        <w:pPr>
          <w:ind w:left="0" w:firstLine="0"/>
        </w:pPr>
        <w:rPr>
          <w:rFonts w:ascii="Times New Roman" w:eastAsia="宋体" w:hAnsi="Times New Roman" w:hint="eastAsia"/>
          <w:b/>
          <w:bCs w:val="0"/>
          <w:sz w:val="21"/>
        </w:rPr>
      </w:lvl>
    </w:lvlOverride>
    <w:lvlOverride w:ilvl="2">
      <w:startOverride w:val="4"/>
      <w:lvl w:ilvl="2">
        <w:start w:val="4"/>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sz w:val="21"/>
          <w:u w:val="none"/>
          <w:vertAlign w:val="baseline"/>
        </w:rPr>
      </w:lvl>
    </w:lvlOverride>
    <w:lvlOverride w:ilvl="3">
      <w:startOverride w:val="1"/>
      <w:lvl w:ilvl="3" w:tentative="1">
        <w:start w:val="1"/>
        <w:numFmt w:val="decimal"/>
        <w:lvlText w:val="%1.%2.%3.%4"/>
        <w:lvlJc w:val="left"/>
        <w:pPr>
          <w:ind w:left="0" w:firstLine="0"/>
        </w:pPr>
        <w:rPr>
          <w:rFonts w:hint="eastAsia"/>
        </w:rPr>
      </w:lvl>
    </w:lvlOverride>
    <w:lvlOverride w:ilvl="4">
      <w:startOverride w:val="1"/>
      <w:lvl w:ilvl="4" w:tentative="1">
        <w:start w:val="1"/>
        <w:numFmt w:val="decimal"/>
        <w:lvlText w:val="%1.%2.%3.%4.%5"/>
        <w:lvlJc w:val="left"/>
        <w:pPr>
          <w:ind w:left="0" w:firstLine="0"/>
        </w:pPr>
        <w:rPr>
          <w:rFonts w:hint="eastAsia"/>
        </w:rPr>
      </w:lvl>
    </w:lvlOverride>
    <w:lvlOverride w:ilvl="5">
      <w:startOverride w:val="1"/>
      <w:lvl w:ilvl="5" w:tentative="1">
        <w:start w:val="1"/>
        <w:numFmt w:val="decimal"/>
        <w:lvlText w:val="%1.%2.%3.%4.%5.%6"/>
        <w:lvlJc w:val="left"/>
        <w:pPr>
          <w:ind w:left="0" w:firstLine="0"/>
        </w:pPr>
        <w:rPr>
          <w:rFonts w:hint="eastAsia"/>
        </w:rPr>
      </w:lvl>
    </w:lvlOverride>
    <w:lvlOverride w:ilvl="6">
      <w:startOverride w:val="1"/>
      <w:lvl w:ilvl="6" w:tentative="1">
        <w:start w:val="1"/>
        <w:numFmt w:val="decimal"/>
        <w:lvlText w:val="%1.%2.%3.%4.%5.%6.%7"/>
        <w:lvlJc w:val="left"/>
        <w:pPr>
          <w:ind w:left="0" w:firstLine="0"/>
        </w:pPr>
        <w:rPr>
          <w:rFonts w:hint="eastAsia"/>
        </w:rPr>
      </w:lvl>
    </w:lvlOverride>
    <w:lvlOverride w:ilvl="7">
      <w:startOverride w:val="1"/>
      <w:lvl w:ilvl="7" w:tentative="1">
        <w:start w:val="1"/>
        <w:numFmt w:val="decimal"/>
        <w:lvlText w:val="%1.%2.%3.%4.%5.%6.%7.%8"/>
        <w:lvlJc w:val="left"/>
        <w:pPr>
          <w:ind w:left="0" w:firstLine="0"/>
        </w:pPr>
        <w:rPr>
          <w:rFonts w:hint="eastAsia"/>
        </w:rPr>
      </w:lvl>
    </w:lvlOverride>
    <w:lvlOverride w:ilvl="8">
      <w:startOverride w:val="1"/>
      <w:lvl w:ilvl="8" w:tentative="1">
        <w:start w:val="1"/>
        <w:numFmt w:val="decimal"/>
        <w:lvlText w:val="%1.%2.%3.%4.%5.%6.%7.%8.%9"/>
        <w:lvlJc w:val="left"/>
        <w:pPr>
          <w:ind w:left="0" w:firstLine="0"/>
        </w:pPr>
        <w:rPr>
          <w:rFonts w:hint="eastAsia"/>
        </w:rPr>
      </w:lvl>
    </w:lvlOverride>
  </w:num>
  <w:num w:numId="79">
    <w:abstractNumId w:val="14"/>
    <w:lvlOverride w:ilvl="0">
      <w:startOverride w:val="4"/>
      <w:lvl w:ilvl="0" w:tentative="1">
        <w:start w:val="4"/>
        <w:numFmt w:val="decimal"/>
        <w:pStyle w:val="1"/>
        <w:lvlText w:val="%1"/>
        <w:lvlJc w:val="center"/>
        <w:pPr>
          <w:ind w:left="0" w:firstLine="288"/>
        </w:pPr>
        <w:rPr>
          <w:rFonts w:hint="eastAsia"/>
        </w:rPr>
      </w:lvl>
    </w:lvlOverride>
    <w:lvlOverride w:ilvl="1">
      <w:startOverride w:val="1"/>
      <w:lvl w:ilvl="1" w:tentative="1">
        <w:start w:val="1"/>
        <w:numFmt w:val="decimal"/>
        <w:pStyle w:val="2"/>
        <w:lvlText w:val="%1.%2"/>
        <w:lvlJc w:val="left"/>
        <w:pPr>
          <w:ind w:left="0" w:firstLine="0"/>
        </w:pPr>
        <w:rPr>
          <w:rFonts w:hint="eastAsia"/>
          <w:b/>
          <w:bCs w:val="0"/>
        </w:rPr>
      </w:lvl>
    </w:lvlOverride>
    <w:lvlOverride w:ilvl="2">
      <w:startOverride w:val="3"/>
      <w:lvl w:ilvl="2">
        <w:start w:val="3"/>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Override>
    <w:lvlOverride w:ilvl="3">
      <w:startOverride w:val="1"/>
      <w:lvl w:ilvl="3" w:tentative="1">
        <w:start w:val="1"/>
        <w:numFmt w:val="decimal"/>
        <w:lvlText w:val="%1.%2.%3.%4"/>
        <w:lvlJc w:val="left"/>
        <w:pPr>
          <w:ind w:left="0" w:firstLine="0"/>
        </w:pPr>
        <w:rPr>
          <w:rFonts w:hint="eastAsia"/>
        </w:rPr>
      </w:lvl>
    </w:lvlOverride>
    <w:lvlOverride w:ilvl="4">
      <w:startOverride w:val="1"/>
      <w:lvl w:ilvl="4" w:tentative="1">
        <w:start w:val="1"/>
        <w:numFmt w:val="decimal"/>
        <w:lvlText w:val="%1.%2.%3.%4.%5"/>
        <w:lvlJc w:val="left"/>
        <w:pPr>
          <w:ind w:left="0" w:firstLine="0"/>
        </w:pPr>
        <w:rPr>
          <w:rFonts w:hint="eastAsia"/>
        </w:rPr>
      </w:lvl>
    </w:lvlOverride>
    <w:lvlOverride w:ilvl="5">
      <w:startOverride w:val="1"/>
      <w:lvl w:ilvl="5" w:tentative="1">
        <w:start w:val="1"/>
        <w:numFmt w:val="decimal"/>
        <w:lvlText w:val="%1.%2.%3.%4.%5.%6"/>
        <w:lvlJc w:val="left"/>
        <w:pPr>
          <w:ind w:left="0" w:firstLine="0"/>
        </w:pPr>
        <w:rPr>
          <w:rFonts w:hint="eastAsia"/>
        </w:rPr>
      </w:lvl>
    </w:lvlOverride>
    <w:lvlOverride w:ilvl="6">
      <w:startOverride w:val="1"/>
      <w:lvl w:ilvl="6" w:tentative="1">
        <w:start w:val="1"/>
        <w:numFmt w:val="decimal"/>
        <w:lvlText w:val="%1.%2.%3.%4.%5.%6.%7"/>
        <w:lvlJc w:val="left"/>
        <w:pPr>
          <w:ind w:left="0" w:firstLine="0"/>
        </w:pPr>
        <w:rPr>
          <w:rFonts w:hint="eastAsia"/>
        </w:rPr>
      </w:lvl>
    </w:lvlOverride>
    <w:lvlOverride w:ilvl="7">
      <w:startOverride w:val="1"/>
      <w:lvl w:ilvl="7" w:tentative="1">
        <w:start w:val="1"/>
        <w:numFmt w:val="decimal"/>
        <w:lvlText w:val="%1.%2.%3.%4.%5.%6.%7.%8"/>
        <w:lvlJc w:val="left"/>
        <w:pPr>
          <w:ind w:left="0" w:firstLine="0"/>
        </w:pPr>
        <w:rPr>
          <w:rFonts w:hint="eastAsia"/>
        </w:rPr>
      </w:lvl>
    </w:lvlOverride>
    <w:lvlOverride w:ilvl="8">
      <w:startOverride w:val="1"/>
      <w:lvl w:ilvl="8" w:tentative="1">
        <w:start w:val="1"/>
        <w:numFmt w:val="decimal"/>
        <w:lvlText w:val="%1.%2.%3.%4.%5.%6.%7.%8.%9"/>
        <w:lvlJc w:val="left"/>
        <w:pPr>
          <w:ind w:left="0" w:firstLine="0"/>
        </w:pPr>
        <w:rPr>
          <w:rFonts w:hint="eastAsia"/>
        </w:rPr>
      </w:lvl>
    </w:lvlOverride>
  </w:num>
  <w:num w:numId="80">
    <w:abstractNumId w:val="14"/>
    <w:lvlOverride w:ilvl="0">
      <w:lvl w:ilvl="0" w:tentative="1">
        <w:start w:val="1"/>
        <w:numFmt w:val="decimal"/>
        <w:pStyle w:val="1"/>
        <w:lvlText w:val="%1"/>
        <w:lvlJc w:val="center"/>
        <w:pPr>
          <w:ind w:left="0" w:firstLine="288"/>
        </w:pPr>
        <w:rPr>
          <w:rFonts w:hint="eastAsia"/>
        </w:rPr>
      </w:lvl>
    </w:lvlOverride>
    <w:lvlOverride w:ilvl="1">
      <w:lvl w:ilvl="1" w:tentative="1">
        <w:start w:val="1"/>
        <w:numFmt w:val="decimal"/>
        <w:pStyle w:val="2"/>
        <w:lvlText w:val="%1.%2"/>
        <w:lvlJc w:val="left"/>
        <w:pPr>
          <w:ind w:left="0" w:firstLine="0"/>
        </w:pPr>
        <w:rPr>
          <w:rFonts w:hint="eastAsia"/>
          <w:b/>
          <w:bCs w:val="0"/>
        </w:rPr>
      </w:lvl>
    </w:lvlOverride>
    <w:lvlOverride w:ilvl="2">
      <w:lvl w:ilvl="2">
        <w:start w:val="1"/>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Override>
    <w:lvlOverride w:ilvl="3">
      <w:lvl w:ilvl="3" w:tentative="1">
        <w:start w:val="1"/>
        <w:numFmt w:val="decimal"/>
        <w:lvlText w:val="%1.%2.%3.%4"/>
        <w:lvlJc w:val="left"/>
        <w:pPr>
          <w:ind w:left="0" w:firstLine="0"/>
        </w:pPr>
        <w:rPr>
          <w:rFonts w:hint="eastAsia"/>
        </w:rPr>
      </w:lvl>
    </w:lvlOverride>
    <w:lvlOverride w:ilvl="4">
      <w:lvl w:ilvl="4" w:tentative="1">
        <w:start w:val="1"/>
        <w:numFmt w:val="decimal"/>
        <w:lvlText w:val="%1.%2.%3.%4.%5"/>
        <w:lvlJc w:val="left"/>
        <w:pPr>
          <w:ind w:left="0" w:firstLine="0"/>
        </w:pPr>
        <w:rPr>
          <w:rFonts w:hint="eastAsia"/>
        </w:rPr>
      </w:lvl>
    </w:lvlOverride>
    <w:lvlOverride w:ilvl="5">
      <w:lvl w:ilvl="5" w:tentative="1">
        <w:start w:val="1"/>
        <w:numFmt w:val="decimal"/>
        <w:lvlText w:val="%1.%2.%3.%4.%5.%6"/>
        <w:lvlJc w:val="left"/>
        <w:pPr>
          <w:ind w:left="0" w:firstLine="0"/>
        </w:pPr>
        <w:rPr>
          <w:rFonts w:hint="eastAsia"/>
        </w:rPr>
      </w:lvl>
    </w:lvlOverride>
    <w:lvlOverride w:ilvl="6">
      <w:lvl w:ilvl="6" w:tentative="1">
        <w:start w:val="1"/>
        <w:numFmt w:val="decimal"/>
        <w:lvlText w:val="%1.%2.%3.%4.%5.%6.%7"/>
        <w:lvlJc w:val="left"/>
        <w:pPr>
          <w:ind w:left="0" w:firstLine="0"/>
        </w:pPr>
        <w:rPr>
          <w:rFonts w:hint="eastAsia"/>
        </w:rPr>
      </w:lvl>
    </w:lvlOverride>
    <w:lvlOverride w:ilvl="7">
      <w:lvl w:ilvl="7" w:tentative="1">
        <w:start w:val="1"/>
        <w:numFmt w:val="decimal"/>
        <w:lvlText w:val="%1.%2.%3.%4.%5.%6.%7.%8"/>
        <w:lvlJc w:val="left"/>
        <w:pPr>
          <w:ind w:left="0" w:firstLine="0"/>
        </w:pPr>
        <w:rPr>
          <w:rFonts w:hint="eastAsia"/>
        </w:rPr>
      </w:lvl>
    </w:lvlOverride>
    <w:lvlOverride w:ilvl="8">
      <w:lvl w:ilvl="8" w:tentative="1">
        <w:start w:val="1"/>
        <w:numFmt w:val="decimal"/>
        <w:lvlText w:val="%1.%2.%3.%4.%5.%6.%7.%8.%9"/>
        <w:lvlJc w:val="left"/>
        <w:pPr>
          <w:ind w:left="0" w:firstLine="0"/>
        </w:pPr>
        <w:rPr>
          <w:rFonts w:hint="eastAsia"/>
        </w:rPr>
      </w:lvl>
    </w:lvlOverride>
  </w:num>
  <w:num w:numId="81">
    <w:abstractNumId w:val="14"/>
    <w:lvlOverride w:ilvl="0">
      <w:startOverride w:val="9"/>
      <w:lvl w:ilvl="0" w:tentative="1">
        <w:start w:val="9"/>
        <w:numFmt w:val="decimal"/>
        <w:pStyle w:val="1"/>
        <w:lvlText w:val="%1"/>
        <w:lvlJc w:val="center"/>
        <w:pPr>
          <w:ind w:left="0" w:firstLine="288"/>
        </w:pPr>
        <w:rPr>
          <w:rFonts w:hint="eastAsia"/>
        </w:rPr>
      </w:lvl>
    </w:lvlOverride>
    <w:lvlOverride w:ilvl="1">
      <w:startOverride w:val="7"/>
      <w:lvl w:ilvl="1">
        <w:start w:val="7"/>
        <w:numFmt w:val="decimal"/>
        <w:pStyle w:val="2"/>
        <w:lvlText w:val="%1.%2"/>
        <w:lvlJc w:val="left"/>
        <w:pPr>
          <w:ind w:left="0" w:firstLine="0"/>
        </w:pPr>
        <w:rPr>
          <w:rFonts w:hint="eastAsia"/>
          <w:b/>
          <w:bCs w:val="0"/>
        </w:rPr>
      </w:lvl>
    </w:lvlOverride>
  </w:num>
  <w:num w:numId="82">
    <w:abstractNumId w:val="14"/>
    <w:lvlOverride w:ilvl="0">
      <w:startOverride w:val="10"/>
      <w:lvl w:ilvl="0" w:tentative="1">
        <w:start w:val="10"/>
        <w:numFmt w:val="decimal"/>
        <w:pStyle w:val="1"/>
        <w:lvlText w:val="%1"/>
        <w:lvlJc w:val="center"/>
        <w:pPr>
          <w:ind w:left="0" w:firstLine="288"/>
        </w:pPr>
        <w:rPr>
          <w:rFonts w:hint="eastAsia"/>
        </w:rPr>
      </w:lvl>
    </w:lvlOverride>
    <w:lvlOverride w:ilvl="1">
      <w:startOverride w:val="1"/>
      <w:lvl w:ilvl="1" w:tentative="1">
        <w:start w:val="1"/>
        <w:numFmt w:val="decimal"/>
        <w:pStyle w:val="2"/>
        <w:lvlText w:val="%1.%2"/>
        <w:lvlJc w:val="left"/>
        <w:pPr>
          <w:ind w:left="0" w:firstLine="0"/>
        </w:pPr>
        <w:rPr>
          <w:rFonts w:hint="eastAsia"/>
          <w:b/>
          <w:bCs w:val="0"/>
        </w:rPr>
      </w:lvl>
    </w:lvlOverride>
    <w:lvlOverride w:ilvl="2">
      <w:startOverride w:val="5"/>
      <w:lvl w:ilvl="2">
        <w:start w:val="5"/>
        <w:numFmt w:val="decimal"/>
        <w:pStyle w:val="3"/>
        <w:lvlText w:val="%1.%2.%3"/>
        <w:lvlJc w:val="left"/>
        <w:pPr>
          <w:ind w:left="142" w:firstLine="0"/>
        </w:pPr>
        <w:rPr>
          <w:rFonts w:ascii="宋体" w:eastAsia="宋体" w:hAnsi="宋体" w:hint="eastAsia"/>
          <w:b/>
          <w:bCs w:val="0"/>
          <w:i w:val="0"/>
          <w:iCs w:val="0"/>
          <w:caps w:val="0"/>
          <w:strike w:val="0"/>
          <w:dstrike w:val="0"/>
          <w:outline w:val="0"/>
          <w:shadow w:val="0"/>
          <w:emboss w:val="0"/>
          <w:imprint w:val="0"/>
          <w:vanish w:val="0"/>
          <w:color w:val="auto"/>
          <w:spacing w:val="0"/>
          <w:position w:val="0"/>
          <w:u w:val="none"/>
          <w:vertAlign w:val="baseline"/>
        </w:rPr>
      </w:lvl>
    </w:lvlOverride>
  </w:num>
  <w:numIdMacAtCleanup w:val="8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zdmMWU0MzI3Njg4NTJlNDNjNjg2YmJjOGM2MzI3MWYifQ=="/>
  </w:docVars>
  <w:rsids>
    <w:rsidRoot w:val="003C2464"/>
    <w:rsid w:val="00000030"/>
    <w:rsid w:val="00000490"/>
    <w:rsid w:val="00000787"/>
    <w:rsid w:val="00000852"/>
    <w:rsid w:val="0000088A"/>
    <w:rsid w:val="00000943"/>
    <w:rsid w:val="0000098B"/>
    <w:rsid w:val="000009D8"/>
    <w:rsid w:val="000009F7"/>
    <w:rsid w:val="000010A4"/>
    <w:rsid w:val="0000117B"/>
    <w:rsid w:val="0000135D"/>
    <w:rsid w:val="000015A2"/>
    <w:rsid w:val="00001753"/>
    <w:rsid w:val="00001770"/>
    <w:rsid w:val="000018FE"/>
    <w:rsid w:val="00001C2A"/>
    <w:rsid w:val="00001C70"/>
    <w:rsid w:val="00001C95"/>
    <w:rsid w:val="00001D19"/>
    <w:rsid w:val="00001DA5"/>
    <w:rsid w:val="00001FC0"/>
    <w:rsid w:val="00002070"/>
    <w:rsid w:val="000022B5"/>
    <w:rsid w:val="0000232A"/>
    <w:rsid w:val="0000263B"/>
    <w:rsid w:val="00002893"/>
    <w:rsid w:val="00002A33"/>
    <w:rsid w:val="00002CCB"/>
    <w:rsid w:val="00002D86"/>
    <w:rsid w:val="00002DD9"/>
    <w:rsid w:val="00002E94"/>
    <w:rsid w:val="0000303F"/>
    <w:rsid w:val="00003628"/>
    <w:rsid w:val="00003926"/>
    <w:rsid w:val="00003BE6"/>
    <w:rsid w:val="00003C00"/>
    <w:rsid w:val="00003C11"/>
    <w:rsid w:val="00003C89"/>
    <w:rsid w:val="00003EB8"/>
    <w:rsid w:val="00003FDA"/>
    <w:rsid w:val="00004038"/>
    <w:rsid w:val="0000413F"/>
    <w:rsid w:val="000041FF"/>
    <w:rsid w:val="00004588"/>
    <w:rsid w:val="00004677"/>
    <w:rsid w:val="00004803"/>
    <w:rsid w:val="00004890"/>
    <w:rsid w:val="0000490D"/>
    <w:rsid w:val="0000493C"/>
    <w:rsid w:val="00004975"/>
    <w:rsid w:val="0000498D"/>
    <w:rsid w:val="00004C2F"/>
    <w:rsid w:val="00004D30"/>
    <w:rsid w:val="00004E20"/>
    <w:rsid w:val="00004ECB"/>
    <w:rsid w:val="00005181"/>
    <w:rsid w:val="000052D0"/>
    <w:rsid w:val="000056D5"/>
    <w:rsid w:val="00005925"/>
    <w:rsid w:val="00005942"/>
    <w:rsid w:val="00005984"/>
    <w:rsid w:val="00005B35"/>
    <w:rsid w:val="00005B8C"/>
    <w:rsid w:val="00005FB4"/>
    <w:rsid w:val="00006014"/>
    <w:rsid w:val="0000624D"/>
    <w:rsid w:val="00006278"/>
    <w:rsid w:val="000062B3"/>
    <w:rsid w:val="0000654D"/>
    <w:rsid w:val="00006798"/>
    <w:rsid w:val="000067E8"/>
    <w:rsid w:val="00006906"/>
    <w:rsid w:val="00006B03"/>
    <w:rsid w:val="00006FD0"/>
    <w:rsid w:val="00007423"/>
    <w:rsid w:val="0000742E"/>
    <w:rsid w:val="00007527"/>
    <w:rsid w:val="0000756A"/>
    <w:rsid w:val="0000768E"/>
    <w:rsid w:val="000076D9"/>
    <w:rsid w:val="000078F2"/>
    <w:rsid w:val="00007A1A"/>
    <w:rsid w:val="00007A65"/>
    <w:rsid w:val="00007BA8"/>
    <w:rsid w:val="00007D17"/>
    <w:rsid w:val="00007DC0"/>
    <w:rsid w:val="00007ED6"/>
    <w:rsid w:val="00007F21"/>
    <w:rsid w:val="000102E4"/>
    <w:rsid w:val="000108F0"/>
    <w:rsid w:val="00010A79"/>
    <w:rsid w:val="00010D39"/>
    <w:rsid w:val="00010ED9"/>
    <w:rsid w:val="00010F2B"/>
    <w:rsid w:val="00010FC4"/>
    <w:rsid w:val="00010FFF"/>
    <w:rsid w:val="0001100D"/>
    <w:rsid w:val="00011191"/>
    <w:rsid w:val="000111F4"/>
    <w:rsid w:val="00011227"/>
    <w:rsid w:val="00011374"/>
    <w:rsid w:val="0001140A"/>
    <w:rsid w:val="0001185E"/>
    <w:rsid w:val="00011866"/>
    <w:rsid w:val="000118F2"/>
    <w:rsid w:val="0001191D"/>
    <w:rsid w:val="00011AC7"/>
    <w:rsid w:val="00011F07"/>
    <w:rsid w:val="00011F38"/>
    <w:rsid w:val="000120BC"/>
    <w:rsid w:val="0001211E"/>
    <w:rsid w:val="00012253"/>
    <w:rsid w:val="000122F2"/>
    <w:rsid w:val="00012325"/>
    <w:rsid w:val="000125E6"/>
    <w:rsid w:val="0001299F"/>
    <w:rsid w:val="00012A88"/>
    <w:rsid w:val="00012AB5"/>
    <w:rsid w:val="00012CAF"/>
    <w:rsid w:val="00012E15"/>
    <w:rsid w:val="000130BB"/>
    <w:rsid w:val="00013131"/>
    <w:rsid w:val="000133C7"/>
    <w:rsid w:val="00013553"/>
    <w:rsid w:val="0001358B"/>
    <w:rsid w:val="00013691"/>
    <w:rsid w:val="000137B9"/>
    <w:rsid w:val="000139E9"/>
    <w:rsid w:val="00013C57"/>
    <w:rsid w:val="00013D12"/>
    <w:rsid w:val="00013E12"/>
    <w:rsid w:val="00013F27"/>
    <w:rsid w:val="00014064"/>
    <w:rsid w:val="000140C7"/>
    <w:rsid w:val="00014219"/>
    <w:rsid w:val="000142C5"/>
    <w:rsid w:val="000143AA"/>
    <w:rsid w:val="0001447E"/>
    <w:rsid w:val="000144AB"/>
    <w:rsid w:val="000145BB"/>
    <w:rsid w:val="000145C2"/>
    <w:rsid w:val="000147DE"/>
    <w:rsid w:val="00014ACA"/>
    <w:rsid w:val="00014C00"/>
    <w:rsid w:val="00014C06"/>
    <w:rsid w:val="00014F59"/>
    <w:rsid w:val="00014FB6"/>
    <w:rsid w:val="00015058"/>
    <w:rsid w:val="000150DF"/>
    <w:rsid w:val="00015190"/>
    <w:rsid w:val="000152A6"/>
    <w:rsid w:val="0001539E"/>
    <w:rsid w:val="0001565C"/>
    <w:rsid w:val="00015C99"/>
    <w:rsid w:val="00015D17"/>
    <w:rsid w:val="00015EB3"/>
    <w:rsid w:val="0001607E"/>
    <w:rsid w:val="0001610B"/>
    <w:rsid w:val="000161F5"/>
    <w:rsid w:val="0001626E"/>
    <w:rsid w:val="0001631C"/>
    <w:rsid w:val="000163A1"/>
    <w:rsid w:val="000165DC"/>
    <w:rsid w:val="00016661"/>
    <w:rsid w:val="00016882"/>
    <w:rsid w:val="00016B72"/>
    <w:rsid w:val="00016BE1"/>
    <w:rsid w:val="00017045"/>
    <w:rsid w:val="0001714A"/>
    <w:rsid w:val="000171DE"/>
    <w:rsid w:val="000172B9"/>
    <w:rsid w:val="000172C7"/>
    <w:rsid w:val="000172DC"/>
    <w:rsid w:val="00017300"/>
    <w:rsid w:val="0001743D"/>
    <w:rsid w:val="0001787B"/>
    <w:rsid w:val="00017889"/>
    <w:rsid w:val="000178EF"/>
    <w:rsid w:val="0001792F"/>
    <w:rsid w:val="00017A9D"/>
    <w:rsid w:val="00017BAA"/>
    <w:rsid w:val="00017CC4"/>
    <w:rsid w:val="00017CFF"/>
    <w:rsid w:val="00017E84"/>
    <w:rsid w:val="00017E9A"/>
    <w:rsid w:val="000200D0"/>
    <w:rsid w:val="000201C6"/>
    <w:rsid w:val="0002022F"/>
    <w:rsid w:val="00020314"/>
    <w:rsid w:val="00020361"/>
    <w:rsid w:val="0002037C"/>
    <w:rsid w:val="0002051A"/>
    <w:rsid w:val="00020645"/>
    <w:rsid w:val="00020676"/>
    <w:rsid w:val="000207A5"/>
    <w:rsid w:val="000207B7"/>
    <w:rsid w:val="000208A3"/>
    <w:rsid w:val="00020A13"/>
    <w:rsid w:val="00020BD9"/>
    <w:rsid w:val="00020C8B"/>
    <w:rsid w:val="00020D30"/>
    <w:rsid w:val="00020D8B"/>
    <w:rsid w:val="00020F64"/>
    <w:rsid w:val="000210D6"/>
    <w:rsid w:val="00021282"/>
    <w:rsid w:val="000213C8"/>
    <w:rsid w:val="0002156E"/>
    <w:rsid w:val="000215FC"/>
    <w:rsid w:val="000217CD"/>
    <w:rsid w:val="000219EE"/>
    <w:rsid w:val="00021A3C"/>
    <w:rsid w:val="00021B1B"/>
    <w:rsid w:val="00021B70"/>
    <w:rsid w:val="00021C30"/>
    <w:rsid w:val="00021D25"/>
    <w:rsid w:val="00021F0F"/>
    <w:rsid w:val="00022208"/>
    <w:rsid w:val="00022285"/>
    <w:rsid w:val="00022884"/>
    <w:rsid w:val="000228A0"/>
    <w:rsid w:val="000229F2"/>
    <w:rsid w:val="00022AB8"/>
    <w:rsid w:val="00022D38"/>
    <w:rsid w:val="00022E03"/>
    <w:rsid w:val="00022FA7"/>
    <w:rsid w:val="00023052"/>
    <w:rsid w:val="000231C2"/>
    <w:rsid w:val="00023316"/>
    <w:rsid w:val="000234BF"/>
    <w:rsid w:val="000234FA"/>
    <w:rsid w:val="0002353E"/>
    <w:rsid w:val="00023608"/>
    <w:rsid w:val="0002373D"/>
    <w:rsid w:val="00023949"/>
    <w:rsid w:val="00023A30"/>
    <w:rsid w:val="00023CA1"/>
    <w:rsid w:val="0002428C"/>
    <w:rsid w:val="0002471B"/>
    <w:rsid w:val="00024A79"/>
    <w:rsid w:val="00024C3F"/>
    <w:rsid w:val="00024CC0"/>
    <w:rsid w:val="00024EA2"/>
    <w:rsid w:val="00024EE6"/>
    <w:rsid w:val="0002551E"/>
    <w:rsid w:val="0002556A"/>
    <w:rsid w:val="00025705"/>
    <w:rsid w:val="000257B3"/>
    <w:rsid w:val="00025872"/>
    <w:rsid w:val="00025927"/>
    <w:rsid w:val="00025978"/>
    <w:rsid w:val="00025A42"/>
    <w:rsid w:val="00025AE8"/>
    <w:rsid w:val="00025B78"/>
    <w:rsid w:val="00025CF2"/>
    <w:rsid w:val="00025EED"/>
    <w:rsid w:val="00025F88"/>
    <w:rsid w:val="00026147"/>
    <w:rsid w:val="000265CE"/>
    <w:rsid w:val="00026691"/>
    <w:rsid w:val="0002677C"/>
    <w:rsid w:val="0002694C"/>
    <w:rsid w:val="000269B7"/>
    <w:rsid w:val="000269D4"/>
    <w:rsid w:val="00026ADB"/>
    <w:rsid w:val="00026EF3"/>
    <w:rsid w:val="00027167"/>
    <w:rsid w:val="000271BD"/>
    <w:rsid w:val="0002742C"/>
    <w:rsid w:val="0002745A"/>
    <w:rsid w:val="000276D1"/>
    <w:rsid w:val="000277A8"/>
    <w:rsid w:val="00027977"/>
    <w:rsid w:val="00027ACD"/>
    <w:rsid w:val="00027BA7"/>
    <w:rsid w:val="00027E58"/>
    <w:rsid w:val="00027F39"/>
    <w:rsid w:val="000300C7"/>
    <w:rsid w:val="000300D6"/>
    <w:rsid w:val="0003016E"/>
    <w:rsid w:val="000302C4"/>
    <w:rsid w:val="000302E5"/>
    <w:rsid w:val="000303E4"/>
    <w:rsid w:val="00030508"/>
    <w:rsid w:val="0003056A"/>
    <w:rsid w:val="0003057F"/>
    <w:rsid w:val="000305D5"/>
    <w:rsid w:val="000307C6"/>
    <w:rsid w:val="000309F9"/>
    <w:rsid w:val="00030CBB"/>
    <w:rsid w:val="00030E30"/>
    <w:rsid w:val="000310C4"/>
    <w:rsid w:val="000310DC"/>
    <w:rsid w:val="000311C4"/>
    <w:rsid w:val="000313E5"/>
    <w:rsid w:val="000315CA"/>
    <w:rsid w:val="00031623"/>
    <w:rsid w:val="000318F4"/>
    <w:rsid w:val="00031968"/>
    <w:rsid w:val="00031C8C"/>
    <w:rsid w:val="00031DB3"/>
    <w:rsid w:val="00031DE8"/>
    <w:rsid w:val="00031E1F"/>
    <w:rsid w:val="00031E77"/>
    <w:rsid w:val="00032199"/>
    <w:rsid w:val="000322C4"/>
    <w:rsid w:val="0003263A"/>
    <w:rsid w:val="00032736"/>
    <w:rsid w:val="000327D3"/>
    <w:rsid w:val="000328DE"/>
    <w:rsid w:val="00032BCF"/>
    <w:rsid w:val="00032CA1"/>
    <w:rsid w:val="00032D68"/>
    <w:rsid w:val="00032E5B"/>
    <w:rsid w:val="00032FA7"/>
    <w:rsid w:val="00033199"/>
    <w:rsid w:val="00033552"/>
    <w:rsid w:val="000338B2"/>
    <w:rsid w:val="00033E72"/>
    <w:rsid w:val="00033EC8"/>
    <w:rsid w:val="00034037"/>
    <w:rsid w:val="0003409E"/>
    <w:rsid w:val="0003413C"/>
    <w:rsid w:val="00034145"/>
    <w:rsid w:val="0003418A"/>
    <w:rsid w:val="000345A9"/>
    <w:rsid w:val="00034778"/>
    <w:rsid w:val="00034B55"/>
    <w:rsid w:val="00034BF4"/>
    <w:rsid w:val="00034C96"/>
    <w:rsid w:val="00034E70"/>
    <w:rsid w:val="00034EA4"/>
    <w:rsid w:val="00035205"/>
    <w:rsid w:val="000355C6"/>
    <w:rsid w:val="000357AF"/>
    <w:rsid w:val="00035838"/>
    <w:rsid w:val="00035B52"/>
    <w:rsid w:val="00035CFD"/>
    <w:rsid w:val="00035D10"/>
    <w:rsid w:val="0003606F"/>
    <w:rsid w:val="000360B7"/>
    <w:rsid w:val="00036221"/>
    <w:rsid w:val="0003628F"/>
    <w:rsid w:val="000362FD"/>
    <w:rsid w:val="0003633F"/>
    <w:rsid w:val="00036393"/>
    <w:rsid w:val="00036407"/>
    <w:rsid w:val="000364FA"/>
    <w:rsid w:val="00036618"/>
    <w:rsid w:val="000366F9"/>
    <w:rsid w:val="0003679D"/>
    <w:rsid w:val="00036A96"/>
    <w:rsid w:val="00036B9A"/>
    <w:rsid w:val="00036C04"/>
    <w:rsid w:val="00036D02"/>
    <w:rsid w:val="00036DBF"/>
    <w:rsid w:val="00036DCE"/>
    <w:rsid w:val="00036EE3"/>
    <w:rsid w:val="00037180"/>
    <w:rsid w:val="00037236"/>
    <w:rsid w:val="000372DD"/>
    <w:rsid w:val="000374D2"/>
    <w:rsid w:val="000375CB"/>
    <w:rsid w:val="000375FC"/>
    <w:rsid w:val="0003765B"/>
    <w:rsid w:val="0003766A"/>
    <w:rsid w:val="0003768A"/>
    <w:rsid w:val="000377E0"/>
    <w:rsid w:val="0003782D"/>
    <w:rsid w:val="00037A05"/>
    <w:rsid w:val="00037A5E"/>
    <w:rsid w:val="00037A8B"/>
    <w:rsid w:val="00037B97"/>
    <w:rsid w:val="00037C39"/>
    <w:rsid w:val="00037DF0"/>
    <w:rsid w:val="00037E10"/>
    <w:rsid w:val="000400BE"/>
    <w:rsid w:val="000400DC"/>
    <w:rsid w:val="00040265"/>
    <w:rsid w:val="00040346"/>
    <w:rsid w:val="000403E6"/>
    <w:rsid w:val="0004055D"/>
    <w:rsid w:val="00040666"/>
    <w:rsid w:val="00040728"/>
    <w:rsid w:val="00040733"/>
    <w:rsid w:val="000409D7"/>
    <w:rsid w:val="00040BFC"/>
    <w:rsid w:val="00040BFE"/>
    <w:rsid w:val="00040E9E"/>
    <w:rsid w:val="00040EC3"/>
    <w:rsid w:val="00040EE8"/>
    <w:rsid w:val="000410D7"/>
    <w:rsid w:val="0004130D"/>
    <w:rsid w:val="00041356"/>
    <w:rsid w:val="0004137E"/>
    <w:rsid w:val="000414BC"/>
    <w:rsid w:val="00041A64"/>
    <w:rsid w:val="00041CE2"/>
    <w:rsid w:val="00041D55"/>
    <w:rsid w:val="00041E74"/>
    <w:rsid w:val="00041EC9"/>
    <w:rsid w:val="00041F18"/>
    <w:rsid w:val="00042038"/>
    <w:rsid w:val="0004204A"/>
    <w:rsid w:val="000421DC"/>
    <w:rsid w:val="0004251F"/>
    <w:rsid w:val="000428F6"/>
    <w:rsid w:val="00042E99"/>
    <w:rsid w:val="00043439"/>
    <w:rsid w:val="0004351C"/>
    <w:rsid w:val="0004379E"/>
    <w:rsid w:val="0004395E"/>
    <w:rsid w:val="000439A8"/>
    <w:rsid w:val="00043A9C"/>
    <w:rsid w:val="00043C20"/>
    <w:rsid w:val="00043D3A"/>
    <w:rsid w:val="00043D5D"/>
    <w:rsid w:val="00043F8D"/>
    <w:rsid w:val="000441CE"/>
    <w:rsid w:val="0004426F"/>
    <w:rsid w:val="000442B9"/>
    <w:rsid w:val="00044570"/>
    <w:rsid w:val="000445CA"/>
    <w:rsid w:val="00044642"/>
    <w:rsid w:val="00044882"/>
    <w:rsid w:val="00044C19"/>
    <w:rsid w:val="00045063"/>
    <w:rsid w:val="0004514B"/>
    <w:rsid w:val="00045278"/>
    <w:rsid w:val="000452D8"/>
    <w:rsid w:val="000453F4"/>
    <w:rsid w:val="0004541B"/>
    <w:rsid w:val="00045654"/>
    <w:rsid w:val="000457CC"/>
    <w:rsid w:val="00045891"/>
    <w:rsid w:val="00045ACE"/>
    <w:rsid w:val="00045C9F"/>
    <w:rsid w:val="00045DC3"/>
    <w:rsid w:val="00046155"/>
    <w:rsid w:val="000466EF"/>
    <w:rsid w:val="00046727"/>
    <w:rsid w:val="00046877"/>
    <w:rsid w:val="0004697D"/>
    <w:rsid w:val="00046ADB"/>
    <w:rsid w:val="00046C9D"/>
    <w:rsid w:val="00046DDE"/>
    <w:rsid w:val="00046E25"/>
    <w:rsid w:val="00046E63"/>
    <w:rsid w:val="0004727F"/>
    <w:rsid w:val="00047293"/>
    <w:rsid w:val="00047303"/>
    <w:rsid w:val="00047A62"/>
    <w:rsid w:val="00047B86"/>
    <w:rsid w:val="00047BD3"/>
    <w:rsid w:val="00047D8E"/>
    <w:rsid w:val="00047E15"/>
    <w:rsid w:val="00047E44"/>
    <w:rsid w:val="00047F5A"/>
    <w:rsid w:val="00047FF8"/>
    <w:rsid w:val="0005031D"/>
    <w:rsid w:val="00050507"/>
    <w:rsid w:val="0005055C"/>
    <w:rsid w:val="00050771"/>
    <w:rsid w:val="0005083D"/>
    <w:rsid w:val="00050A82"/>
    <w:rsid w:val="00050E37"/>
    <w:rsid w:val="0005100B"/>
    <w:rsid w:val="0005106F"/>
    <w:rsid w:val="0005112F"/>
    <w:rsid w:val="00051435"/>
    <w:rsid w:val="00051441"/>
    <w:rsid w:val="000514E6"/>
    <w:rsid w:val="000518A7"/>
    <w:rsid w:val="00051962"/>
    <w:rsid w:val="00051969"/>
    <w:rsid w:val="000519B9"/>
    <w:rsid w:val="00051BF1"/>
    <w:rsid w:val="00051EAB"/>
    <w:rsid w:val="00051EC8"/>
    <w:rsid w:val="0005220E"/>
    <w:rsid w:val="00052245"/>
    <w:rsid w:val="0005234C"/>
    <w:rsid w:val="00052616"/>
    <w:rsid w:val="00052750"/>
    <w:rsid w:val="000528E9"/>
    <w:rsid w:val="00052E7F"/>
    <w:rsid w:val="0005305C"/>
    <w:rsid w:val="00053255"/>
    <w:rsid w:val="0005332C"/>
    <w:rsid w:val="000533D5"/>
    <w:rsid w:val="00053417"/>
    <w:rsid w:val="000534E4"/>
    <w:rsid w:val="000535D9"/>
    <w:rsid w:val="00053729"/>
    <w:rsid w:val="00053800"/>
    <w:rsid w:val="0005399C"/>
    <w:rsid w:val="00053B86"/>
    <w:rsid w:val="00053CB8"/>
    <w:rsid w:val="00053DB1"/>
    <w:rsid w:val="0005426E"/>
    <w:rsid w:val="000545B6"/>
    <w:rsid w:val="0005466A"/>
    <w:rsid w:val="00054882"/>
    <w:rsid w:val="000549E4"/>
    <w:rsid w:val="00054B04"/>
    <w:rsid w:val="00054BF7"/>
    <w:rsid w:val="00054D54"/>
    <w:rsid w:val="00054DF1"/>
    <w:rsid w:val="00054F2B"/>
    <w:rsid w:val="00054FE9"/>
    <w:rsid w:val="0005535F"/>
    <w:rsid w:val="00055567"/>
    <w:rsid w:val="0005592E"/>
    <w:rsid w:val="00055A00"/>
    <w:rsid w:val="00055B76"/>
    <w:rsid w:val="00055DCE"/>
    <w:rsid w:val="00055F10"/>
    <w:rsid w:val="000562D9"/>
    <w:rsid w:val="00056449"/>
    <w:rsid w:val="000566D9"/>
    <w:rsid w:val="00056723"/>
    <w:rsid w:val="000567A9"/>
    <w:rsid w:val="00056A32"/>
    <w:rsid w:val="00056AF4"/>
    <w:rsid w:val="00056C76"/>
    <w:rsid w:val="00056CEC"/>
    <w:rsid w:val="00056E77"/>
    <w:rsid w:val="000572A9"/>
    <w:rsid w:val="000572F8"/>
    <w:rsid w:val="00057657"/>
    <w:rsid w:val="00057663"/>
    <w:rsid w:val="00057851"/>
    <w:rsid w:val="000578EA"/>
    <w:rsid w:val="00057ADB"/>
    <w:rsid w:val="00057CA5"/>
    <w:rsid w:val="00057D9D"/>
    <w:rsid w:val="00057E9A"/>
    <w:rsid w:val="00057F30"/>
    <w:rsid w:val="00057F50"/>
    <w:rsid w:val="00060165"/>
    <w:rsid w:val="00060399"/>
    <w:rsid w:val="000603A2"/>
    <w:rsid w:val="00060579"/>
    <w:rsid w:val="000606B7"/>
    <w:rsid w:val="00060706"/>
    <w:rsid w:val="00060760"/>
    <w:rsid w:val="00060912"/>
    <w:rsid w:val="000609A8"/>
    <w:rsid w:val="00060ABC"/>
    <w:rsid w:val="00060AD4"/>
    <w:rsid w:val="00060B31"/>
    <w:rsid w:val="00060C2B"/>
    <w:rsid w:val="00061093"/>
    <w:rsid w:val="000611D6"/>
    <w:rsid w:val="0006167D"/>
    <w:rsid w:val="00061989"/>
    <w:rsid w:val="00061A6B"/>
    <w:rsid w:val="00061FD4"/>
    <w:rsid w:val="000622AB"/>
    <w:rsid w:val="000622F8"/>
    <w:rsid w:val="000623E5"/>
    <w:rsid w:val="000626EF"/>
    <w:rsid w:val="00062BAF"/>
    <w:rsid w:val="00062BBB"/>
    <w:rsid w:val="00062E2F"/>
    <w:rsid w:val="00062E73"/>
    <w:rsid w:val="00062EE4"/>
    <w:rsid w:val="000630D5"/>
    <w:rsid w:val="00063379"/>
    <w:rsid w:val="0006337F"/>
    <w:rsid w:val="00063438"/>
    <w:rsid w:val="0006359D"/>
    <w:rsid w:val="00063A97"/>
    <w:rsid w:val="00063BFD"/>
    <w:rsid w:val="00063F81"/>
    <w:rsid w:val="00064026"/>
    <w:rsid w:val="0006416F"/>
    <w:rsid w:val="000643F4"/>
    <w:rsid w:val="00064443"/>
    <w:rsid w:val="000644BD"/>
    <w:rsid w:val="000645CD"/>
    <w:rsid w:val="0006478B"/>
    <w:rsid w:val="0006489B"/>
    <w:rsid w:val="000649C0"/>
    <w:rsid w:val="00064B02"/>
    <w:rsid w:val="00064DB3"/>
    <w:rsid w:val="00064FD8"/>
    <w:rsid w:val="00065048"/>
    <w:rsid w:val="000650DB"/>
    <w:rsid w:val="0006540F"/>
    <w:rsid w:val="00065423"/>
    <w:rsid w:val="00065673"/>
    <w:rsid w:val="00065890"/>
    <w:rsid w:val="000658DF"/>
    <w:rsid w:val="0006595D"/>
    <w:rsid w:val="00065B0B"/>
    <w:rsid w:val="00065BBE"/>
    <w:rsid w:val="00065C21"/>
    <w:rsid w:val="00065F4B"/>
    <w:rsid w:val="00066153"/>
    <w:rsid w:val="000664D5"/>
    <w:rsid w:val="00066618"/>
    <w:rsid w:val="000666C1"/>
    <w:rsid w:val="0006678A"/>
    <w:rsid w:val="000669D8"/>
    <w:rsid w:val="00066BE0"/>
    <w:rsid w:val="00066F77"/>
    <w:rsid w:val="0006719B"/>
    <w:rsid w:val="000671E8"/>
    <w:rsid w:val="000671FA"/>
    <w:rsid w:val="0006744E"/>
    <w:rsid w:val="00067616"/>
    <w:rsid w:val="000677B3"/>
    <w:rsid w:val="000677CB"/>
    <w:rsid w:val="0006785C"/>
    <w:rsid w:val="000679F6"/>
    <w:rsid w:val="00067A18"/>
    <w:rsid w:val="00067BC8"/>
    <w:rsid w:val="00067F43"/>
    <w:rsid w:val="00067FBD"/>
    <w:rsid w:val="00070002"/>
    <w:rsid w:val="0007000F"/>
    <w:rsid w:val="0007012A"/>
    <w:rsid w:val="000702EB"/>
    <w:rsid w:val="000703C3"/>
    <w:rsid w:val="0007040F"/>
    <w:rsid w:val="0007067B"/>
    <w:rsid w:val="000708A5"/>
    <w:rsid w:val="000708D9"/>
    <w:rsid w:val="00070B6A"/>
    <w:rsid w:val="00070C28"/>
    <w:rsid w:val="00070D09"/>
    <w:rsid w:val="00070E4A"/>
    <w:rsid w:val="00070E7B"/>
    <w:rsid w:val="00071069"/>
    <w:rsid w:val="0007114A"/>
    <w:rsid w:val="000713D0"/>
    <w:rsid w:val="000717A8"/>
    <w:rsid w:val="00071A97"/>
    <w:rsid w:val="00071BC7"/>
    <w:rsid w:val="00071BD8"/>
    <w:rsid w:val="00071CAC"/>
    <w:rsid w:val="00071DBF"/>
    <w:rsid w:val="00071E73"/>
    <w:rsid w:val="000721B5"/>
    <w:rsid w:val="000721E3"/>
    <w:rsid w:val="00072335"/>
    <w:rsid w:val="000726B3"/>
    <w:rsid w:val="000727A6"/>
    <w:rsid w:val="000727C5"/>
    <w:rsid w:val="000728D1"/>
    <w:rsid w:val="00072A5D"/>
    <w:rsid w:val="00072B50"/>
    <w:rsid w:val="00072C7E"/>
    <w:rsid w:val="00072D4D"/>
    <w:rsid w:val="00072F14"/>
    <w:rsid w:val="0007305D"/>
    <w:rsid w:val="000730AD"/>
    <w:rsid w:val="000732D2"/>
    <w:rsid w:val="0007375D"/>
    <w:rsid w:val="000738DD"/>
    <w:rsid w:val="00073C2A"/>
    <w:rsid w:val="00073D1A"/>
    <w:rsid w:val="00073FF1"/>
    <w:rsid w:val="00074156"/>
    <w:rsid w:val="000742BA"/>
    <w:rsid w:val="00074790"/>
    <w:rsid w:val="00074A45"/>
    <w:rsid w:val="00074AD4"/>
    <w:rsid w:val="00074B4F"/>
    <w:rsid w:val="00074E93"/>
    <w:rsid w:val="000750F1"/>
    <w:rsid w:val="000751DB"/>
    <w:rsid w:val="0007526F"/>
    <w:rsid w:val="0007533B"/>
    <w:rsid w:val="000755EF"/>
    <w:rsid w:val="000759D3"/>
    <w:rsid w:val="00075A27"/>
    <w:rsid w:val="00075D50"/>
    <w:rsid w:val="00075D9E"/>
    <w:rsid w:val="00075EB3"/>
    <w:rsid w:val="00076354"/>
    <w:rsid w:val="00076A4C"/>
    <w:rsid w:val="00076A7F"/>
    <w:rsid w:val="00076CE3"/>
    <w:rsid w:val="00076E24"/>
    <w:rsid w:val="00077059"/>
    <w:rsid w:val="00077162"/>
    <w:rsid w:val="00077322"/>
    <w:rsid w:val="000774D3"/>
    <w:rsid w:val="00077548"/>
    <w:rsid w:val="00077737"/>
    <w:rsid w:val="00077747"/>
    <w:rsid w:val="00077785"/>
    <w:rsid w:val="00077ABB"/>
    <w:rsid w:val="00077AC8"/>
    <w:rsid w:val="00077AF9"/>
    <w:rsid w:val="00077B21"/>
    <w:rsid w:val="00077BF2"/>
    <w:rsid w:val="00077CA9"/>
    <w:rsid w:val="00077D3C"/>
    <w:rsid w:val="00077DB3"/>
    <w:rsid w:val="00077EF2"/>
    <w:rsid w:val="0008027F"/>
    <w:rsid w:val="000802E3"/>
    <w:rsid w:val="000803C9"/>
    <w:rsid w:val="0008054A"/>
    <w:rsid w:val="0008081B"/>
    <w:rsid w:val="00080827"/>
    <w:rsid w:val="00080AA7"/>
    <w:rsid w:val="00080E90"/>
    <w:rsid w:val="00080F42"/>
    <w:rsid w:val="00080F79"/>
    <w:rsid w:val="000810CA"/>
    <w:rsid w:val="00081280"/>
    <w:rsid w:val="000812A1"/>
    <w:rsid w:val="000814C1"/>
    <w:rsid w:val="00081A19"/>
    <w:rsid w:val="00081C1E"/>
    <w:rsid w:val="00081CC2"/>
    <w:rsid w:val="0008235A"/>
    <w:rsid w:val="00082839"/>
    <w:rsid w:val="00082A40"/>
    <w:rsid w:val="00082A9E"/>
    <w:rsid w:val="00082BEF"/>
    <w:rsid w:val="00082F25"/>
    <w:rsid w:val="00083069"/>
    <w:rsid w:val="0008311D"/>
    <w:rsid w:val="0008313D"/>
    <w:rsid w:val="00083320"/>
    <w:rsid w:val="000833CF"/>
    <w:rsid w:val="0008341E"/>
    <w:rsid w:val="0008360B"/>
    <w:rsid w:val="00083691"/>
    <w:rsid w:val="00083853"/>
    <w:rsid w:val="000839AE"/>
    <w:rsid w:val="00083C48"/>
    <w:rsid w:val="00083CBB"/>
    <w:rsid w:val="00083F72"/>
    <w:rsid w:val="000840C1"/>
    <w:rsid w:val="0008422C"/>
    <w:rsid w:val="0008445B"/>
    <w:rsid w:val="000845C7"/>
    <w:rsid w:val="00084A50"/>
    <w:rsid w:val="00084D64"/>
    <w:rsid w:val="00084FAE"/>
    <w:rsid w:val="00085254"/>
    <w:rsid w:val="000852F5"/>
    <w:rsid w:val="00085482"/>
    <w:rsid w:val="000854D3"/>
    <w:rsid w:val="000854EA"/>
    <w:rsid w:val="000855A6"/>
    <w:rsid w:val="0008560F"/>
    <w:rsid w:val="000856C6"/>
    <w:rsid w:val="000856C9"/>
    <w:rsid w:val="0008586A"/>
    <w:rsid w:val="00085E87"/>
    <w:rsid w:val="00086161"/>
    <w:rsid w:val="00086289"/>
    <w:rsid w:val="000862D1"/>
    <w:rsid w:val="00086372"/>
    <w:rsid w:val="000863BB"/>
    <w:rsid w:val="00086589"/>
    <w:rsid w:val="0008678B"/>
    <w:rsid w:val="0008697B"/>
    <w:rsid w:val="00086997"/>
    <w:rsid w:val="000869A5"/>
    <w:rsid w:val="00086A04"/>
    <w:rsid w:val="00086C5C"/>
    <w:rsid w:val="00086D19"/>
    <w:rsid w:val="00086ECE"/>
    <w:rsid w:val="00086F9E"/>
    <w:rsid w:val="00087087"/>
    <w:rsid w:val="00087094"/>
    <w:rsid w:val="000872B1"/>
    <w:rsid w:val="00087415"/>
    <w:rsid w:val="00087473"/>
    <w:rsid w:val="00087495"/>
    <w:rsid w:val="000874C1"/>
    <w:rsid w:val="000875B1"/>
    <w:rsid w:val="00087609"/>
    <w:rsid w:val="0008761E"/>
    <w:rsid w:val="00087751"/>
    <w:rsid w:val="00087833"/>
    <w:rsid w:val="00087889"/>
    <w:rsid w:val="0008795B"/>
    <w:rsid w:val="00087B8B"/>
    <w:rsid w:val="00087C8D"/>
    <w:rsid w:val="00090037"/>
    <w:rsid w:val="000900D3"/>
    <w:rsid w:val="0009054A"/>
    <w:rsid w:val="00090672"/>
    <w:rsid w:val="00090794"/>
    <w:rsid w:val="00090A09"/>
    <w:rsid w:val="00090A50"/>
    <w:rsid w:val="00090A8B"/>
    <w:rsid w:val="00090ADE"/>
    <w:rsid w:val="00090B89"/>
    <w:rsid w:val="00090BD8"/>
    <w:rsid w:val="00090C03"/>
    <w:rsid w:val="00090D3E"/>
    <w:rsid w:val="00090D73"/>
    <w:rsid w:val="00090D75"/>
    <w:rsid w:val="00091015"/>
    <w:rsid w:val="00091198"/>
    <w:rsid w:val="0009119F"/>
    <w:rsid w:val="0009121A"/>
    <w:rsid w:val="00091232"/>
    <w:rsid w:val="00091264"/>
    <w:rsid w:val="000912E9"/>
    <w:rsid w:val="00091366"/>
    <w:rsid w:val="00091615"/>
    <w:rsid w:val="00091719"/>
    <w:rsid w:val="00091796"/>
    <w:rsid w:val="0009179A"/>
    <w:rsid w:val="00091A58"/>
    <w:rsid w:val="00091C9D"/>
    <w:rsid w:val="00091CE1"/>
    <w:rsid w:val="00091D54"/>
    <w:rsid w:val="00091E99"/>
    <w:rsid w:val="00091E9E"/>
    <w:rsid w:val="00092270"/>
    <w:rsid w:val="000922B0"/>
    <w:rsid w:val="000922C8"/>
    <w:rsid w:val="0009245F"/>
    <w:rsid w:val="00092547"/>
    <w:rsid w:val="00092771"/>
    <w:rsid w:val="000928F1"/>
    <w:rsid w:val="00092900"/>
    <w:rsid w:val="0009290C"/>
    <w:rsid w:val="000929BF"/>
    <w:rsid w:val="00092A5D"/>
    <w:rsid w:val="00092A62"/>
    <w:rsid w:val="00092D13"/>
    <w:rsid w:val="00092FCD"/>
    <w:rsid w:val="00093096"/>
    <w:rsid w:val="000931DB"/>
    <w:rsid w:val="000933E5"/>
    <w:rsid w:val="00093530"/>
    <w:rsid w:val="00093561"/>
    <w:rsid w:val="00093567"/>
    <w:rsid w:val="000936B5"/>
    <w:rsid w:val="0009396B"/>
    <w:rsid w:val="00093A6F"/>
    <w:rsid w:val="00093E4A"/>
    <w:rsid w:val="000940D3"/>
    <w:rsid w:val="0009414A"/>
    <w:rsid w:val="00094B78"/>
    <w:rsid w:val="00094DBA"/>
    <w:rsid w:val="00094E5E"/>
    <w:rsid w:val="000952E1"/>
    <w:rsid w:val="000952E5"/>
    <w:rsid w:val="00095434"/>
    <w:rsid w:val="000955E7"/>
    <w:rsid w:val="000957CA"/>
    <w:rsid w:val="0009587D"/>
    <w:rsid w:val="000958A5"/>
    <w:rsid w:val="0009598A"/>
    <w:rsid w:val="00095AD0"/>
    <w:rsid w:val="00095AEE"/>
    <w:rsid w:val="00095C21"/>
    <w:rsid w:val="00095C31"/>
    <w:rsid w:val="00095D8E"/>
    <w:rsid w:val="00095E4C"/>
    <w:rsid w:val="00095E87"/>
    <w:rsid w:val="00096248"/>
    <w:rsid w:val="000962A0"/>
    <w:rsid w:val="0009655B"/>
    <w:rsid w:val="000967A6"/>
    <w:rsid w:val="000967D9"/>
    <w:rsid w:val="000967DF"/>
    <w:rsid w:val="00096943"/>
    <w:rsid w:val="00096A30"/>
    <w:rsid w:val="00096AA9"/>
    <w:rsid w:val="00096B63"/>
    <w:rsid w:val="00096C8B"/>
    <w:rsid w:val="00096D4F"/>
    <w:rsid w:val="00096E59"/>
    <w:rsid w:val="00097474"/>
    <w:rsid w:val="00097495"/>
    <w:rsid w:val="0009750D"/>
    <w:rsid w:val="00097516"/>
    <w:rsid w:val="0009775D"/>
    <w:rsid w:val="000978FB"/>
    <w:rsid w:val="0009797F"/>
    <w:rsid w:val="00097AE9"/>
    <w:rsid w:val="00097B3B"/>
    <w:rsid w:val="00097F3C"/>
    <w:rsid w:val="000A001B"/>
    <w:rsid w:val="000A0070"/>
    <w:rsid w:val="000A0264"/>
    <w:rsid w:val="000A05E6"/>
    <w:rsid w:val="000A068D"/>
    <w:rsid w:val="000A06B9"/>
    <w:rsid w:val="000A06CB"/>
    <w:rsid w:val="000A0767"/>
    <w:rsid w:val="000A09BD"/>
    <w:rsid w:val="000A0D44"/>
    <w:rsid w:val="000A10CB"/>
    <w:rsid w:val="000A15DF"/>
    <w:rsid w:val="000A16C3"/>
    <w:rsid w:val="000A1766"/>
    <w:rsid w:val="000A17E2"/>
    <w:rsid w:val="000A18BF"/>
    <w:rsid w:val="000A1A25"/>
    <w:rsid w:val="000A1A94"/>
    <w:rsid w:val="000A1D3E"/>
    <w:rsid w:val="000A1DFD"/>
    <w:rsid w:val="000A1F52"/>
    <w:rsid w:val="000A1FAD"/>
    <w:rsid w:val="000A213D"/>
    <w:rsid w:val="000A2198"/>
    <w:rsid w:val="000A248B"/>
    <w:rsid w:val="000A25A5"/>
    <w:rsid w:val="000A25F6"/>
    <w:rsid w:val="000A26D6"/>
    <w:rsid w:val="000A2769"/>
    <w:rsid w:val="000A2786"/>
    <w:rsid w:val="000A2A18"/>
    <w:rsid w:val="000A2A6F"/>
    <w:rsid w:val="000A2DA2"/>
    <w:rsid w:val="000A2FBF"/>
    <w:rsid w:val="000A3270"/>
    <w:rsid w:val="000A32D3"/>
    <w:rsid w:val="000A332C"/>
    <w:rsid w:val="000A3479"/>
    <w:rsid w:val="000A34EE"/>
    <w:rsid w:val="000A35D3"/>
    <w:rsid w:val="000A3F8B"/>
    <w:rsid w:val="000A41FB"/>
    <w:rsid w:val="000A4311"/>
    <w:rsid w:val="000A43EA"/>
    <w:rsid w:val="000A4406"/>
    <w:rsid w:val="000A4457"/>
    <w:rsid w:val="000A45B5"/>
    <w:rsid w:val="000A45CB"/>
    <w:rsid w:val="000A47FD"/>
    <w:rsid w:val="000A4D3E"/>
    <w:rsid w:val="000A4E20"/>
    <w:rsid w:val="000A4EBF"/>
    <w:rsid w:val="000A4F6F"/>
    <w:rsid w:val="000A500C"/>
    <w:rsid w:val="000A51E1"/>
    <w:rsid w:val="000A5214"/>
    <w:rsid w:val="000A527E"/>
    <w:rsid w:val="000A52BD"/>
    <w:rsid w:val="000A532B"/>
    <w:rsid w:val="000A5370"/>
    <w:rsid w:val="000A54A2"/>
    <w:rsid w:val="000A5518"/>
    <w:rsid w:val="000A5558"/>
    <w:rsid w:val="000A561F"/>
    <w:rsid w:val="000A56D5"/>
    <w:rsid w:val="000A57DB"/>
    <w:rsid w:val="000A58A0"/>
    <w:rsid w:val="000A5995"/>
    <w:rsid w:val="000A5A79"/>
    <w:rsid w:val="000A5AC9"/>
    <w:rsid w:val="000A5ACC"/>
    <w:rsid w:val="000A5B17"/>
    <w:rsid w:val="000A5D0B"/>
    <w:rsid w:val="000A5DAC"/>
    <w:rsid w:val="000A60E9"/>
    <w:rsid w:val="000A6158"/>
    <w:rsid w:val="000A6604"/>
    <w:rsid w:val="000A673E"/>
    <w:rsid w:val="000A6760"/>
    <w:rsid w:val="000A6A0F"/>
    <w:rsid w:val="000A6C3B"/>
    <w:rsid w:val="000A6DE9"/>
    <w:rsid w:val="000A707F"/>
    <w:rsid w:val="000A70E9"/>
    <w:rsid w:val="000A747E"/>
    <w:rsid w:val="000A74CE"/>
    <w:rsid w:val="000A761F"/>
    <w:rsid w:val="000A7689"/>
    <w:rsid w:val="000A76AE"/>
    <w:rsid w:val="000A76D6"/>
    <w:rsid w:val="000A7731"/>
    <w:rsid w:val="000A79B4"/>
    <w:rsid w:val="000A7BA1"/>
    <w:rsid w:val="000A7F10"/>
    <w:rsid w:val="000B007D"/>
    <w:rsid w:val="000B021F"/>
    <w:rsid w:val="000B077B"/>
    <w:rsid w:val="000B07AA"/>
    <w:rsid w:val="000B07F1"/>
    <w:rsid w:val="000B085B"/>
    <w:rsid w:val="000B08AF"/>
    <w:rsid w:val="000B08CF"/>
    <w:rsid w:val="000B0910"/>
    <w:rsid w:val="000B0961"/>
    <w:rsid w:val="000B0C4C"/>
    <w:rsid w:val="000B0CCC"/>
    <w:rsid w:val="000B0E3E"/>
    <w:rsid w:val="000B0ED3"/>
    <w:rsid w:val="000B0F11"/>
    <w:rsid w:val="000B1541"/>
    <w:rsid w:val="000B1647"/>
    <w:rsid w:val="000B1708"/>
    <w:rsid w:val="000B201E"/>
    <w:rsid w:val="000B224A"/>
    <w:rsid w:val="000B265A"/>
    <w:rsid w:val="000B267E"/>
    <w:rsid w:val="000B27E5"/>
    <w:rsid w:val="000B28C2"/>
    <w:rsid w:val="000B29E2"/>
    <w:rsid w:val="000B2B32"/>
    <w:rsid w:val="000B2BED"/>
    <w:rsid w:val="000B2C78"/>
    <w:rsid w:val="000B2C85"/>
    <w:rsid w:val="000B2DE5"/>
    <w:rsid w:val="000B2E41"/>
    <w:rsid w:val="000B2EAF"/>
    <w:rsid w:val="000B321F"/>
    <w:rsid w:val="000B3253"/>
    <w:rsid w:val="000B32BB"/>
    <w:rsid w:val="000B340D"/>
    <w:rsid w:val="000B343E"/>
    <w:rsid w:val="000B3536"/>
    <w:rsid w:val="000B36B4"/>
    <w:rsid w:val="000B382C"/>
    <w:rsid w:val="000B38A3"/>
    <w:rsid w:val="000B3925"/>
    <w:rsid w:val="000B3B8F"/>
    <w:rsid w:val="000B432B"/>
    <w:rsid w:val="000B4822"/>
    <w:rsid w:val="000B4DFC"/>
    <w:rsid w:val="000B4E19"/>
    <w:rsid w:val="000B4F68"/>
    <w:rsid w:val="000B5093"/>
    <w:rsid w:val="000B50CE"/>
    <w:rsid w:val="000B519D"/>
    <w:rsid w:val="000B51FA"/>
    <w:rsid w:val="000B520E"/>
    <w:rsid w:val="000B540C"/>
    <w:rsid w:val="000B54A2"/>
    <w:rsid w:val="000B55C8"/>
    <w:rsid w:val="000B562B"/>
    <w:rsid w:val="000B57C6"/>
    <w:rsid w:val="000B580D"/>
    <w:rsid w:val="000B5992"/>
    <w:rsid w:val="000B5B0F"/>
    <w:rsid w:val="000B5BF6"/>
    <w:rsid w:val="000B5CE3"/>
    <w:rsid w:val="000B5E38"/>
    <w:rsid w:val="000B5F9E"/>
    <w:rsid w:val="000B600E"/>
    <w:rsid w:val="000B6040"/>
    <w:rsid w:val="000B6067"/>
    <w:rsid w:val="000B645D"/>
    <w:rsid w:val="000B66A2"/>
    <w:rsid w:val="000B677A"/>
    <w:rsid w:val="000B6849"/>
    <w:rsid w:val="000B692F"/>
    <w:rsid w:val="000B6D05"/>
    <w:rsid w:val="000B6D2C"/>
    <w:rsid w:val="000B6E58"/>
    <w:rsid w:val="000B6F37"/>
    <w:rsid w:val="000B6F78"/>
    <w:rsid w:val="000B7062"/>
    <w:rsid w:val="000B70E9"/>
    <w:rsid w:val="000B728C"/>
    <w:rsid w:val="000B72DE"/>
    <w:rsid w:val="000B742A"/>
    <w:rsid w:val="000B75EA"/>
    <w:rsid w:val="000B766B"/>
    <w:rsid w:val="000B79CD"/>
    <w:rsid w:val="000B7AB5"/>
    <w:rsid w:val="000B7E1F"/>
    <w:rsid w:val="000B7E4E"/>
    <w:rsid w:val="000B7ECA"/>
    <w:rsid w:val="000C02F4"/>
    <w:rsid w:val="000C03FB"/>
    <w:rsid w:val="000C0452"/>
    <w:rsid w:val="000C0541"/>
    <w:rsid w:val="000C08D7"/>
    <w:rsid w:val="000C08EF"/>
    <w:rsid w:val="000C0BB2"/>
    <w:rsid w:val="000C0BDA"/>
    <w:rsid w:val="000C0D55"/>
    <w:rsid w:val="000C0E2F"/>
    <w:rsid w:val="000C0E9E"/>
    <w:rsid w:val="000C0FCD"/>
    <w:rsid w:val="000C107A"/>
    <w:rsid w:val="000C11F9"/>
    <w:rsid w:val="000C1293"/>
    <w:rsid w:val="000C12D1"/>
    <w:rsid w:val="000C12F8"/>
    <w:rsid w:val="000C1A79"/>
    <w:rsid w:val="000C1B79"/>
    <w:rsid w:val="000C1CD6"/>
    <w:rsid w:val="000C1EFE"/>
    <w:rsid w:val="000C20DA"/>
    <w:rsid w:val="000C2203"/>
    <w:rsid w:val="000C233A"/>
    <w:rsid w:val="000C235F"/>
    <w:rsid w:val="000C2426"/>
    <w:rsid w:val="000C2437"/>
    <w:rsid w:val="000C243D"/>
    <w:rsid w:val="000C248E"/>
    <w:rsid w:val="000C2527"/>
    <w:rsid w:val="000C2762"/>
    <w:rsid w:val="000C2A2C"/>
    <w:rsid w:val="000C2AE9"/>
    <w:rsid w:val="000C2FEB"/>
    <w:rsid w:val="000C34D6"/>
    <w:rsid w:val="000C35C1"/>
    <w:rsid w:val="000C3AAE"/>
    <w:rsid w:val="000C3B41"/>
    <w:rsid w:val="000C3C8E"/>
    <w:rsid w:val="000C45B8"/>
    <w:rsid w:val="000C468A"/>
    <w:rsid w:val="000C4814"/>
    <w:rsid w:val="000C494F"/>
    <w:rsid w:val="000C4A12"/>
    <w:rsid w:val="000C4A6A"/>
    <w:rsid w:val="000C4AE3"/>
    <w:rsid w:val="000C4B81"/>
    <w:rsid w:val="000C4CA4"/>
    <w:rsid w:val="000C500E"/>
    <w:rsid w:val="000C528E"/>
    <w:rsid w:val="000C53E5"/>
    <w:rsid w:val="000C548A"/>
    <w:rsid w:val="000C55B3"/>
    <w:rsid w:val="000C5679"/>
    <w:rsid w:val="000C56A7"/>
    <w:rsid w:val="000C5B47"/>
    <w:rsid w:val="000C637B"/>
    <w:rsid w:val="000C645C"/>
    <w:rsid w:val="000C649F"/>
    <w:rsid w:val="000C65CA"/>
    <w:rsid w:val="000C667C"/>
    <w:rsid w:val="000C66E3"/>
    <w:rsid w:val="000C6911"/>
    <w:rsid w:val="000C6998"/>
    <w:rsid w:val="000C6C09"/>
    <w:rsid w:val="000C6EA6"/>
    <w:rsid w:val="000C70FD"/>
    <w:rsid w:val="000C754E"/>
    <w:rsid w:val="000C78D5"/>
    <w:rsid w:val="000C7BE2"/>
    <w:rsid w:val="000C7CB2"/>
    <w:rsid w:val="000C7F3E"/>
    <w:rsid w:val="000D00FE"/>
    <w:rsid w:val="000D03C1"/>
    <w:rsid w:val="000D045B"/>
    <w:rsid w:val="000D04E7"/>
    <w:rsid w:val="000D0599"/>
    <w:rsid w:val="000D0635"/>
    <w:rsid w:val="000D06EF"/>
    <w:rsid w:val="000D0A2F"/>
    <w:rsid w:val="000D0A56"/>
    <w:rsid w:val="000D0BD8"/>
    <w:rsid w:val="000D0D0D"/>
    <w:rsid w:val="000D119C"/>
    <w:rsid w:val="000D14F5"/>
    <w:rsid w:val="000D15C6"/>
    <w:rsid w:val="000D1A5C"/>
    <w:rsid w:val="000D1B23"/>
    <w:rsid w:val="000D1B2B"/>
    <w:rsid w:val="000D1B81"/>
    <w:rsid w:val="000D1BC2"/>
    <w:rsid w:val="000D1D1D"/>
    <w:rsid w:val="000D1E6E"/>
    <w:rsid w:val="000D1F90"/>
    <w:rsid w:val="000D1FC1"/>
    <w:rsid w:val="000D22B6"/>
    <w:rsid w:val="000D2342"/>
    <w:rsid w:val="000D25F3"/>
    <w:rsid w:val="000D2730"/>
    <w:rsid w:val="000D2A63"/>
    <w:rsid w:val="000D2A94"/>
    <w:rsid w:val="000D2B16"/>
    <w:rsid w:val="000D2CCA"/>
    <w:rsid w:val="000D2DCF"/>
    <w:rsid w:val="000D2E39"/>
    <w:rsid w:val="000D2E57"/>
    <w:rsid w:val="000D3643"/>
    <w:rsid w:val="000D36A4"/>
    <w:rsid w:val="000D3980"/>
    <w:rsid w:val="000D3A72"/>
    <w:rsid w:val="000D3BCA"/>
    <w:rsid w:val="000D3CCC"/>
    <w:rsid w:val="000D3DBF"/>
    <w:rsid w:val="000D3E4A"/>
    <w:rsid w:val="000D41A2"/>
    <w:rsid w:val="000D4438"/>
    <w:rsid w:val="000D45E0"/>
    <w:rsid w:val="000D46DA"/>
    <w:rsid w:val="000D4979"/>
    <w:rsid w:val="000D4B9C"/>
    <w:rsid w:val="000D53B0"/>
    <w:rsid w:val="000D5602"/>
    <w:rsid w:val="000D568A"/>
    <w:rsid w:val="000D5700"/>
    <w:rsid w:val="000D5728"/>
    <w:rsid w:val="000D5773"/>
    <w:rsid w:val="000D5802"/>
    <w:rsid w:val="000D5A2A"/>
    <w:rsid w:val="000D5AF6"/>
    <w:rsid w:val="000D5B8E"/>
    <w:rsid w:val="000D5C12"/>
    <w:rsid w:val="000D5E16"/>
    <w:rsid w:val="000D5EB8"/>
    <w:rsid w:val="000D63B4"/>
    <w:rsid w:val="000D64F7"/>
    <w:rsid w:val="000D6754"/>
    <w:rsid w:val="000D6935"/>
    <w:rsid w:val="000D6988"/>
    <w:rsid w:val="000D6E17"/>
    <w:rsid w:val="000D6E96"/>
    <w:rsid w:val="000D7015"/>
    <w:rsid w:val="000D7096"/>
    <w:rsid w:val="000D72F0"/>
    <w:rsid w:val="000D759E"/>
    <w:rsid w:val="000D7684"/>
    <w:rsid w:val="000D773A"/>
    <w:rsid w:val="000D7934"/>
    <w:rsid w:val="000D7A15"/>
    <w:rsid w:val="000D7B14"/>
    <w:rsid w:val="000D7D40"/>
    <w:rsid w:val="000D7F06"/>
    <w:rsid w:val="000D7F4D"/>
    <w:rsid w:val="000E00FA"/>
    <w:rsid w:val="000E02A2"/>
    <w:rsid w:val="000E0436"/>
    <w:rsid w:val="000E073A"/>
    <w:rsid w:val="000E08ED"/>
    <w:rsid w:val="000E0974"/>
    <w:rsid w:val="000E0ABA"/>
    <w:rsid w:val="000E0CB8"/>
    <w:rsid w:val="000E1369"/>
    <w:rsid w:val="000E13F9"/>
    <w:rsid w:val="000E1442"/>
    <w:rsid w:val="000E14A9"/>
    <w:rsid w:val="000E14F8"/>
    <w:rsid w:val="000E1534"/>
    <w:rsid w:val="000E1782"/>
    <w:rsid w:val="000E1824"/>
    <w:rsid w:val="000E1A87"/>
    <w:rsid w:val="000E1B2A"/>
    <w:rsid w:val="000E1C52"/>
    <w:rsid w:val="000E1CF2"/>
    <w:rsid w:val="000E1E63"/>
    <w:rsid w:val="000E2259"/>
    <w:rsid w:val="000E23B6"/>
    <w:rsid w:val="000E23D6"/>
    <w:rsid w:val="000E2571"/>
    <w:rsid w:val="000E2589"/>
    <w:rsid w:val="000E2835"/>
    <w:rsid w:val="000E2AD0"/>
    <w:rsid w:val="000E2B43"/>
    <w:rsid w:val="000E2BAA"/>
    <w:rsid w:val="000E2BBE"/>
    <w:rsid w:val="000E2C03"/>
    <w:rsid w:val="000E2C34"/>
    <w:rsid w:val="000E2C61"/>
    <w:rsid w:val="000E2F3E"/>
    <w:rsid w:val="000E2F4C"/>
    <w:rsid w:val="000E300F"/>
    <w:rsid w:val="000E3127"/>
    <w:rsid w:val="000E3590"/>
    <w:rsid w:val="000E372D"/>
    <w:rsid w:val="000E3956"/>
    <w:rsid w:val="000E3A3D"/>
    <w:rsid w:val="000E3C49"/>
    <w:rsid w:val="000E3D97"/>
    <w:rsid w:val="000E4144"/>
    <w:rsid w:val="000E4361"/>
    <w:rsid w:val="000E4492"/>
    <w:rsid w:val="000E44E0"/>
    <w:rsid w:val="000E45CC"/>
    <w:rsid w:val="000E47F6"/>
    <w:rsid w:val="000E4AF6"/>
    <w:rsid w:val="000E4B4B"/>
    <w:rsid w:val="000E4D47"/>
    <w:rsid w:val="000E4DAF"/>
    <w:rsid w:val="000E4DD2"/>
    <w:rsid w:val="000E504D"/>
    <w:rsid w:val="000E5261"/>
    <w:rsid w:val="000E52D5"/>
    <w:rsid w:val="000E5487"/>
    <w:rsid w:val="000E5629"/>
    <w:rsid w:val="000E5675"/>
    <w:rsid w:val="000E595E"/>
    <w:rsid w:val="000E5A3B"/>
    <w:rsid w:val="000E5BC0"/>
    <w:rsid w:val="000E5D2E"/>
    <w:rsid w:val="000E5E0A"/>
    <w:rsid w:val="000E60A6"/>
    <w:rsid w:val="000E6347"/>
    <w:rsid w:val="000E63BC"/>
    <w:rsid w:val="000E666E"/>
    <w:rsid w:val="000E6928"/>
    <w:rsid w:val="000E698B"/>
    <w:rsid w:val="000E699F"/>
    <w:rsid w:val="000E6A9D"/>
    <w:rsid w:val="000E6E0C"/>
    <w:rsid w:val="000E6E8A"/>
    <w:rsid w:val="000E6F8B"/>
    <w:rsid w:val="000E7031"/>
    <w:rsid w:val="000E720E"/>
    <w:rsid w:val="000E73AA"/>
    <w:rsid w:val="000E73B4"/>
    <w:rsid w:val="000E7439"/>
    <w:rsid w:val="000E7556"/>
    <w:rsid w:val="000E75DA"/>
    <w:rsid w:val="000E7671"/>
    <w:rsid w:val="000E7698"/>
    <w:rsid w:val="000E780C"/>
    <w:rsid w:val="000E780D"/>
    <w:rsid w:val="000E78A3"/>
    <w:rsid w:val="000E796E"/>
    <w:rsid w:val="000E7ADB"/>
    <w:rsid w:val="000E7B23"/>
    <w:rsid w:val="000E7BBE"/>
    <w:rsid w:val="000E7BE9"/>
    <w:rsid w:val="000E7C7C"/>
    <w:rsid w:val="000E7D7D"/>
    <w:rsid w:val="000E7DEB"/>
    <w:rsid w:val="000E7F06"/>
    <w:rsid w:val="000E7F94"/>
    <w:rsid w:val="000F01B9"/>
    <w:rsid w:val="000F0249"/>
    <w:rsid w:val="000F05C7"/>
    <w:rsid w:val="000F07D6"/>
    <w:rsid w:val="000F083F"/>
    <w:rsid w:val="000F0B14"/>
    <w:rsid w:val="000F0E7E"/>
    <w:rsid w:val="000F0ED7"/>
    <w:rsid w:val="000F1011"/>
    <w:rsid w:val="000F1156"/>
    <w:rsid w:val="000F1270"/>
    <w:rsid w:val="000F13F6"/>
    <w:rsid w:val="000F1433"/>
    <w:rsid w:val="000F1515"/>
    <w:rsid w:val="000F1678"/>
    <w:rsid w:val="000F1692"/>
    <w:rsid w:val="000F1EF1"/>
    <w:rsid w:val="000F1F6F"/>
    <w:rsid w:val="000F20B0"/>
    <w:rsid w:val="000F2153"/>
    <w:rsid w:val="000F221C"/>
    <w:rsid w:val="000F246D"/>
    <w:rsid w:val="000F24AC"/>
    <w:rsid w:val="000F27F3"/>
    <w:rsid w:val="000F297C"/>
    <w:rsid w:val="000F29F6"/>
    <w:rsid w:val="000F2A85"/>
    <w:rsid w:val="000F2B8C"/>
    <w:rsid w:val="000F2BEF"/>
    <w:rsid w:val="000F3011"/>
    <w:rsid w:val="000F31DA"/>
    <w:rsid w:val="000F32B8"/>
    <w:rsid w:val="000F34F9"/>
    <w:rsid w:val="000F35FF"/>
    <w:rsid w:val="000F368B"/>
    <w:rsid w:val="000F368E"/>
    <w:rsid w:val="000F3A73"/>
    <w:rsid w:val="000F3C00"/>
    <w:rsid w:val="000F3C0E"/>
    <w:rsid w:val="000F3C1C"/>
    <w:rsid w:val="000F3D1E"/>
    <w:rsid w:val="000F3FCB"/>
    <w:rsid w:val="000F40F6"/>
    <w:rsid w:val="000F43C8"/>
    <w:rsid w:val="000F4431"/>
    <w:rsid w:val="000F45E8"/>
    <w:rsid w:val="000F470B"/>
    <w:rsid w:val="000F4880"/>
    <w:rsid w:val="000F48FA"/>
    <w:rsid w:val="000F4A0E"/>
    <w:rsid w:val="000F4C1B"/>
    <w:rsid w:val="000F4CE1"/>
    <w:rsid w:val="000F4D3D"/>
    <w:rsid w:val="000F4E04"/>
    <w:rsid w:val="000F4F15"/>
    <w:rsid w:val="000F5098"/>
    <w:rsid w:val="000F50AE"/>
    <w:rsid w:val="000F5599"/>
    <w:rsid w:val="000F574A"/>
    <w:rsid w:val="000F5A46"/>
    <w:rsid w:val="000F5A4D"/>
    <w:rsid w:val="000F5D48"/>
    <w:rsid w:val="000F5D99"/>
    <w:rsid w:val="000F5DE6"/>
    <w:rsid w:val="000F5F4F"/>
    <w:rsid w:val="000F609C"/>
    <w:rsid w:val="000F6366"/>
    <w:rsid w:val="000F6440"/>
    <w:rsid w:val="000F646A"/>
    <w:rsid w:val="000F67DC"/>
    <w:rsid w:val="000F6952"/>
    <w:rsid w:val="000F69AC"/>
    <w:rsid w:val="000F6AA6"/>
    <w:rsid w:val="000F6CD0"/>
    <w:rsid w:val="000F7109"/>
    <w:rsid w:val="000F723C"/>
    <w:rsid w:val="000F7266"/>
    <w:rsid w:val="000F75EE"/>
    <w:rsid w:val="000F76EA"/>
    <w:rsid w:val="000F795A"/>
    <w:rsid w:val="000F7A4B"/>
    <w:rsid w:val="000F7A6C"/>
    <w:rsid w:val="000F7D97"/>
    <w:rsid w:val="000F7F09"/>
    <w:rsid w:val="00100163"/>
    <w:rsid w:val="00100193"/>
    <w:rsid w:val="0010033A"/>
    <w:rsid w:val="0010043D"/>
    <w:rsid w:val="001004E9"/>
    <w:rsid w:val="001009ED"/>
    <w:rsid w:val="00100BC5"/>
    <w:rsid w:val="00100C84"/>
    <w:rsid w:val="00100DFE"/>
    <w:rsid w:val="00101036"/>
    <w:rsid w:val="001010CF"/>
    <w:rsid w:val="0010124D"/>
    <w:rsid w:val="0010125D"/>
    <w:rsid w:val="00101287"/>
    <w:rsid w:val="001013E4"/>
    <w:rsid w:val="00101553"/>
    <w:rsid w:val="00101768"/>
    <w:rsid w:val="00101889"/>
    <w:rsid w:val="00101995"/>
    <w:rsid w:val="00101BF2"/>
    <w:rsid w:val="00101D79"/>
    <w:rsid w:val="00101D97"/>
    <w:rsid w:val="00101E01"/>
    <w:rsid w:val="00101EE4"/>
    <w:rsid w:val="0010200B"/>
    <w:rsid w:val="0010290A"/>
    <w:rsid w:val="00102C86"/>
    <w:rsid w:val="00102CD8"/>
    <w:rsid w:val="00102ECD"/>
    <w:rsid w:val="00102EFF"/>
    <w:rsid w:val="001030A0"/>
    <w:rsid w:val="001032A1"/>
    <w:rsid w:val="001034EB"/>
    <w:rsid w:val="001038ED"/>
    <w:rsid w:val="001039D8"/>
    <w:rsid w:val="00103CED"/>
    <w:rsid w:val="00103FE0"/>
    <w:rsid w:val="00103FF7"/>
    <w:rsid w:val="001042BB"/>
    <w:rsid w:val="00104363"/>
    <w:rsid w:val="0010493B"/>
    <w:rsid w:val="00104976"/>
    <w:rsid w:val="00104A40"/>
    <w:rsid w:val="00104AE3"/>
    <w:rsid w:val="00104E84"/>
    <w:rsid w:val="00104F41"/>
    <w:rsid w:val="00105039"/>
    <w:rsid w:val="0010511A"/>
    <w:rsid w:val="00105353"/>
    <w:rsid w:val="001054ED"/>
    <w:rsid w:val="00105541"/>
    <w:rsid w:val="001055A3"/>
    <w:rsid w:val="001055DC"/>
    <w:rsid w:val="0010591B"/>
    <w:rsid w:val="00105928"/>
    <w:rsid w:val="00105A67"/>
    <w:rsid w:val="00105A8C"/>
    <w:rsid w:val="00105D39"/>
    <w:rsid w:val="00105F20"/>
    <w:rsid w:val="00105F28"/>
    <w:rsid w:val="00106130"/>
    <w:rsid w:val="00106144"/>
    <w:rsid w:val="00106150"/>
    <w:rsid w:val="00106186"/>
    <w:rsid w:val="001061AA"/>
    <w:rsid w:val="0010624B"/>
    <w:rsid w:val="00106266"/>
    <w:rsid w:val="0010651A"/>
    <w:rsid w:val="00106540"/>
    <w:rsid w:val="00106699"/>
    <w:rsid w:val="00106824"/>
    <w:rsid w:val="0010692D"/>
    <w:rsid w:val="00106997"/>
    <w:rsid w:val="00106AEF"/>
    <w:rsid w:val="00106CF9"/>
    <w:rsid w:val="00106D1E"/>
    <w:rsid w:val="00106E1F"/>
    <w:rsid w:val="00106E53"/>
    <w:rsid w:val="00106E5C"/>
    <w:rsid w:val="00106E7E"/>
    <w:rsid w:val="00106F12"/>
    <w:rsid w:val="00106FA4"/>
    <w:rsid w:val="00106FAD"/>
    <w:rsid w:val="00107030"/>
    <w:rsid w:val="00107116"/>
    <w:rsid w:val="00107588"/>
    <w:rsid w:val="00107613"/>
    <w:rsid w:val="00107796"/>
    <w:rsid w:val="001077E7"/>
    <w:rsid w:val="0010781E"/>
    <w:rsid w:val="00107B0F"/>
    <w:rsid w:val="00107D2D"/>
    <w:rsid w:val="00107D55"/>
    <w:rsid w:val="00107E1B"/>
    <w:rsid w:val="00107E89"/>
    <w:rsid w:val="00107ED4"/>
    <w:rsid w:val="00110156"/>
    <w:rsid w:val="0011022F"/>
    <w:rsid w:val="00110230"/>
    <w:rsid w:val="00110275"/>
    <w:rsid w:val="00110307"/>
    <w:rsid w:val="0011031C"/>
    <w:rsid w:val="0011049C"/>
    <w:rsid w:val="0011059A"/>
    <w:rsid w:val="0011075E"/>
    <w:rsid w:val="0011086D"/>
    <w:rsid w:val="00110A12"/>
    <w:rsid w:val="00110C1D"/>
    <w:rsid w:val="00110E3F"/>
    <w:rsid w:val="00110E59"/>
    <w:rsid w:val="0011105B"/>
    <w:rsid w:val="00111249"/>
    <w:rsid w:val="00111639"/>
    <w:rsid w:val="00111B69"/>
    <w:rsid w:val="00111ED9"/>
    <w:rsid w:val="00112110"/>
    <w:rsid w:val="00112295"/>
    <w:rsid w:val="0011232B"/>
    <w:rsid w:val="001124DE"/>
    <w:rsid w:val="001125C8"/>
    <w:rsid w:val="00112652"/>
    <w:rsid w:val="00112B66"/>
    <w:rsid w:val="00112B9E"/>
    <w:rsid w:val="00112BE5"/>
    <w:rsid w:val="00112C70"/>
    <w:rsid w:val="00112CAE"/>
    <w:rsid w:val="00112D4A"/>
    <w:rsid w:val="00112E21"/>
    <w:rsid w:val="00113130"/>
    <w:rsid w:val="001131DA"/>
    <w:rsid w:val="00113496"/>
    <w:rsid w:val="00113569"/>
    <w:rsid w:val="00113595"/>
    <w:rsid w:val="001136DE"/>
    <w:rsid w:val="00113A1A"/>
    <w:rsid w:val="00113CE1"/>
    <w:rsid w:val="00113FA7"/>
    <w:rsid w:val="001140B9"/>
    <w:rsid w:val="001142F1"/>
    <w:rsid w:val="00114395"/>
    <w:rsid w:val="0011470B"/>
    <w:rsid w:val="00114853"/>
    <w:rsid w:val="00114ADE"/>
    <w:rsid w:val="00114CC1"/>
    <w:rsid w:val="00114E52"/>
    <w:rsid w:val="00114F17"/>
    <w:rsid w:val="00115056"/>
    <w:rsid w:val="0011511E"/>
    <w:rsid w:val="00115304"/>
    <w:rsid w:val="001154AD"/>
    <w:rsid w:val="001154F3"/>
    <w:rsid w:val="00115610"/>
    <w:rsid w:val="00115742"/>
    <w:rsid w:val="00115781"/>
    <w:rsid w:val="001157E0"/>
    <w:rsid w:val="00115806"/>
    <w:rsid w:val="00115A05"/>
    <w:rsid w:val="00115A57"/>
    <w:rsid w:val="00115BA4"/>
    <w:rsid w:val="00115C0A"/>
    <w:rsid w:val="00115DC0"/>
    <w:rsid w:val="00115E2B"/>
    <w:rsid w:val="00115F8C"/>
    <w:rsid w:val="00116121"/>
    <w:rsid w:val="001162B0"/>
    <w:rsid w:val="00116353"/>
    <w:rsid w:val="001165E8"/>
    <w:rsid w:val="00116988"/>
    <w:rsid w:val="001169D4"/>
    <w:rsid w:val="00116D3B"/>
    <w:rsid w:val="00116F53"/>
    <w:rsid w:val="001172D5"/>
    <w:rsid w:val="001175A2"/>
    <w:rsid w:val="00117703"/>
    <w:rsid w:val="00117954"/>
    <w:rsid w:val="00117BB1"/>
    <w:rsid w:val="00117BCF"/>
    <w:rsid w:val="00117CD1"/>
    <w:rsid w:val="00117CE9"/>
    <w:rsid w:val="00117D38"/>
    <w:rsid w:val="00117E8D"/>
    <w:rsid w:val="00120013"/>
    <w:rsid w:val="0012020C"/>
    <w:rsid w:val="001205A4"/>
    <w:rsid w:val="00120A24"/>
    <w:rsid w:val="00120E59"/>
    <w:rsid w:val="00120F21"/>
    <w:rsid w:val="001210D3"/>
    <w:rsid w:val="0012122E"/>
    <w:rsid w:val="001213D1"/>
    <w:rsid w:val="0012150B"/>
    <w:rsid w:val="00121670"/>
    <w:rsid w:val="001218FD"/>
    <w:rsid w:val="00121A5F"/>
    <w:rsid w:val="00121BB4"/>
    <w:rsid w:val="00121DA2"/>
    <w:rsid w:val="00121E22"/>
    <w:rsid w:val="00121E35"/>
    <w:rsid w:val="00121E6C"/>
    <w:rsid w:val="00121F69"/>
    <w:rsid w:val="00121FE8"/>
    <w:rsid w:val="001220C0"/>
    <w:rsid w:val="0012218E"/>
    <w:rsid w:val="001221A8"/>
    <w:rsid w:val="00122413"/>
    <w:rsid w:val="0012252C"/>
    <w:rsid w:val="0012252E"/>
    <w:rsid w:val="00122820"/>
    <w:rsid w:val="00122894"/>
    <w:rsid w:val="00122CB6"/>
    <w:rsid w:val="00122D61"/>
    <w:rsid w:val="00122DDA"/>
    <w:rsid w:val="001235BE"/>
    <w:rsid w:val="001239A7"/>
    <w:rsid w:val="00123E92"/>
    <w:rsid w:val="00123EDD"/>
    <w:rsid w:val="00123EEA"/>
    <w:rsid w:val="0012418E"/>
    <w:rsid w:val="001241B0"/>
    <w:rsid w:val="001241ED"/>
    <w:rsid w:val="001246F9"/>
    <w:rsid w:val="001246FB"/>
    <w:rsid w:val="00124768"/>
    <w:rsid w:val="001247C5"/>
    <w:rsid w:val="001247F1"/>
    <w:rsid w:val="0012482F"/>
    <w:rsid w:val="00124934"/>
    <w:rsid w:val="001249FB"/>
    <w:rsid w:val="00124C3B"/>
    <w:rsid w:val="00124C3F"/>
    <w:rsid w:val="00124D0E"/>
    <w:rsid w:val="00124DC8"/>
    <w:rsid w:val="00124F47"/>
    <w:rsid w:val="00124FF2"/>
    <w:rsid w:val="00125367"/>
    <w:rsid w:val="00125465"/>
    <w:rsid w:val="00125518"/>
    <w:rsid w:val="0012568F"/>
    <w:rsid w:val="001256AB"/>
    <w:rsid w:val="001258E3"/>
    <w:rsid w:val="00125CDE"/>
    <w:rsid w:val="00125D49"/>
    <w:rsid w:val="00125EA4"/>
    <w:rsid w:val="00125FC7"/>
    <w:rsid w:val="00125FC9"/>
    <w:rsid w:val="00126043"/>
    <w:rsid w:val="0012671B"/>
    <w:rsid w:val="001267EE"/>
    <w:rsid w:val="001268E7"/>
    <w:rsid w:val="00126A0C"/>
    <w:rsid w:val="00126A7B"/>
    <w:rsid w:val="00126C9E"/>
    <w:rsid w:val="00126D2E"/>
    <w:rsid w:val="00126DA7"/>
    <w:rsid w:val="00126E06"/>
    <w:rsid w:val="00126E7B"/>
    <w:rsid w:val="00127050"/>
    <w:rsid w:val="001270C1"/>
    <w:rsid w:val="001271F3"/>
    <w:rsid w:val="00127346"/>
    <w:rsid w:val="0012753B"/>
    <w:rsid w:val="001275B0"/>
    <w:rsid w:val="001275C2"/>
    <w:rsid w:val="0012785A"/>
    <w:rsid w:val="00127980"/>
    <w:rsid w:val="001279C8"/>
    <w:rsid w:val="00127A62"/>
    <w:rsid w:val="00127B5B"/>
    <w:rsid w:val="00127CD4"/>
    <w:rsid w:val="00127D25"/>
    <w:rsid w:val="00127E02"/>
    <w:rsid w:val="00127F68"/>
    <w:rsid w:val="00130437"/>
    <w:rsid w:val="001304F9"/>
    <w:rsid w:val="00130542"/>
    <w:rsid w:val="0013078C"/>
    <w:rsid w:val="001307AC"/>
    <w:rsid w:val="001308DA"/>
    <w:rsid w:val="00130A94"/>
    <w:rsid w:val="00130CDC"/>
    <w:rsid w:val="00130D0F"/>
    <w:rsid w:val="00130D45"/>
    <w:rsid w:val="00130EF0"/>
    <w:rsid w:val="00131225"/>
    <w:rsid w:val="00131270"/>
    <w:rsid w:val="001313AA"/>
    <w:rsid w:val="001313DD"/>
    <w:rsid w:val="00131460"/>
    <w:rsid w:val="001316AA"/>
    <w:rsid w:val="001316F3"/>
    <w:rsid w:val="001316FC"/>
    <w:rsid w:val="00131A9A"/>
    <w:rsid w:val="00131BAF"/>
    <w:rsid w:val="00131D86"/>
    <w:rsid w:val="00131EDB"/>
    <w:rsid w:val="00131FEE"/>
    <w:rsid w:val="00132053"/>
    <w:rsid w:val="001323E9"/>
    <w:rsid w:val="00132534"/>
    <w:rsid w:val="001325A4"/>
    <w:rsid w:val="001329C3"/>
    <w:rsid w:val="00132A18"/>
    <w:rsid w:val="00132B58"/>
    <w:rsid w:val="00132DDF"/>
    <w:rsid w:val="00132FCA"/>
    <w:rsid w:val="00133063"/>
    <w:rsid w:val="001330BC"/>
    <w:rsid w:val="0013316B"/>
    <w:rsid w:val="001334C4"/>
    <w:rsid w:val="001335C8"/>
    <w:rsid w:val="0013361C"/>
    <w:rsid w:val="00133692"/>
    <w:rsid w:val="001338FA"/>
    <w:rsid w:val="00133AAC"/>
    <w:rsid w:val="00133E65"/>
    <w:rsid w:val="00134050"/>
    <w:rsid w:val="001344DD"/>
    <w:rsid w:val="00134662"/>
    <w:rsid w:val="001346C8"/>
    <w:rsid w:val="001346E2"/>
    <w:rsid w:val="0013470A"/>
    <w:rsid w:val="001347FF"/>
    <w:rsid w:val="00134CB0"/>
    <w:rsid w:val="00134FAF"/>
    <w:rsid w:val="001351B1"/>
    <w:rsid w:val="00135279"/>
    <w:rsid w:val="00135549"/>
    <w:rsid w:val="001356DB"/>
    <w:rsid w:val="00135780"/>
    <w:rsid w:val="00135840"/>
    <w:rsid w:val="00135B02"/>
    <w:rsid w:val="00135B1B"/>
    <w:rsid w:val="00135C49"/>
    <w:rsid w:val="00135CFF"/>
    <w:rsid w:val="00135F7A"/>
    <w:rsid w:val="00135FDF"/>
    <w:rsid w:val="0013601F"/>
    <w:rsid w:val="001364D2"/>
    <w:rsid w:val="001364D5"/>
    <w:rsid w:val="001365A0"/>
    <w:rsid w:val="001366A5"/>
    <w:rsid w:val="0013682F"/>
    <w:rsid w:val="00136957"/>
    <w:rsid w:val="00136C7C"/>
    <w:rsid w:val="00136D90"/>
    <w:rsid w:val="00136F33"/>
    <w:rsid w:val="001371F9"/>
    <w:rsid w:val="00137504"/>
    <w:rsid w:val="00137B75"/>
    <w:rsid w:val="00137CBF"/>
    <w:rsid w:val="00137D9D"/>
    <w:rsid w:val="0014025C"/>
    <w:rsid w:val="001403C3"/>
    <w:rsid w:val="00140416"/>
    <w:rsid w:val="00140493"/>
    <w:rsid w:val="0014052C"/>
    <w:rsid w:val="00140566"/>
    <w:rsid w:val="001405F2"/>
    <w:rsid w:val="00140605"/>
    <w:rsid w:val="001406C3"/>
    <w:rsid w:val="001406F0"/>
    <w:rsid w:val="001406F7"/>
    <w:rsid w:val="00140A0E"/>
    <w:rsid w:val="00140B5C"/>
    <w:rsid w:val="00140D13"/>
    <w:rsid w:val="00140D3E"/>
    <w:rsid w:val="00140F27"/>
    <w:rsid w:val="00140FC7"/>
    <w:rsid w:val="00140FF8"/>
    <w:rsid w:val="001415B5"/>
    <w:rsid w:val="00141723"/>
    <w:rsid w:val="0014176C"/>
    <w:rsid w:val="001417CA"/>
    <w:rsid w:val="001417E9"/>
    <w:rsid w:val="001417F7"/>
    <w:rsid w:val="001418B9"/>
    <w:rsid w:val="001418BF"/>
    <w:rsid w:val="00141921"/>
    <w:rsid w:val="00141923"/>
    <w:rsid w:val="00141AF2"/>
    <w:rsid w:val="00141B0A"/>
    <w:rsid w:val="00141CCF"/>
    <w:rsid w:val="00141FF2"/>
    <w:rsid w:val="001420D9"/>
    <w:rsid w:val="001420F0"/>
    <w:rsid w:val="001422D1"/>
    <w:rsid w:val="001423C5"/>
    <w:rsid w:val="001423EA"/>
    <w:rsid w:val="00142427"/>
    <w:rsid w:val="001424F5"/>
    <w:rsid w:val="0014253F"/>
    <w:rsid w:val="001426B0"/>
    <w:rsid w:val="001426F1"/>
    <w:rsid w:val="00142710"/>
    <w:rsid w:val="0014276F"/>
    <w:rsid w:val="001427A5"/>
    <w:rsid w:val="001427CA"/>
    <w:rsid w:val="001427CB"/>
    <w:rsid w:val="001427E9"/>
    <w:rsid w:val="001428B3"/>
    <w:rsid w:val="0014297C"/>
    <w:rsid w:val="00142A86"/>
    <w:rsid w:val="00142AB9"/>
    <w:rsid w:val="00142B20"/>
    <w:rsid w:val="00142CB1"/>
    <w:rsid w:val="00142F40"/>
    <w:rsid w:val="00143053"/>
    <w:rsid w:val="00143071"/>
    <w:rsid w:val="0014309D"/>
    <w:rsid w:val="00143126"/>
    <w:rsid w:val="001431A5"/>
    <w:rsid w:val="00143346"/>
    <w:rsid w:val="00143463"/>
    <w:rsid w:val="001435CC"/>
    <w:rsid w:val="001436FB"/>
    <w:rsid w:val="00143753"/>
    <w:rsid w:val="001439BC"/>
    <w:rsid w:val="00143AEF"/>
    <w:rsid w:val="00143E10"/>
    <w:rsid w:val="0014404B"/>
    <w:rsid w:val="00144069"/>
    <w:rsid w:val="001442C6"/>
    <w:rsid w:val="00144314"/>
    <w:rsid w:val="001443E8"/>
    <w:rsid w:val="00144556"/>
    <w:rsid w:val="00144709"/>
    <w:rsid w:val="0014472F"/>
    <w:rsid w:val="00144862"/>
    <w:rsid w:val="00144920"/>
    <w:rsid w:val="00144A83"/>
    <w:rsid w:val="00144D5F"/>
    <w:rsid w:val="00144E44"/>
    <w:rsid w:val="00144EE4"/>
    <w:rsid w:val="00144F19"/>
    <w:rsid w:val="00144FA0"/>
    <w:rsid w:val="001453B1"/>
    <w:rsid w:val="001453F1"/>
    <w:rsid w:val="0014540A"/>
    <w:rsid w:val="001454BD"/>
    <w:rsid w:val="001454F7"/>
    <w:rsid w:val="00145791"/>
    <w:rsid w:val="00145C33"/>
    <w:rsid w:val="00145D76"/>
    <w:rsid w:val="00145F16"/>
    <w:rsid w:val="00145F5D"/>
    <w:rsid w:val="00145FBE"/>
    <w:rsid w:val="00145FCD"/>
    <w:rsid w:val="00146356"/>
    <w:rsid w:val="001463AA"/>
    <w:rsid w:val="00146449"/>
    <w:rsid w:val="00146681"/>
    <w:rsid w:val="00146764"/>
    <w:rsid w:val="001467DF"/>
    <w:rsid w:val="001467FE"/>
    <w:rsid w:val="00146849"/>
    <w:rsid w:val="00146A24"/>
    <w:rsid w:val="00146A49"/>
    <w:rsid w:val="00146C19"/>
    <w:rsid w:val="00146D07"/>
    <w:rsid w:val="00146DB6"/>
    <w:rsid w:val="00146F16"/>
    <w:rsid w:val="00146FC5"/>
    <w:rsid w:val="00147100"/>
    <w:rsid w:val="001472AD"/>
    <w:rsid w:val="001473AE"/>
    <w:rsid w:val="0014750E"/>
    <w:rsid w:val="001476E0"/>
    <w:rsid w:val="00147797"/>
    <w:rsid w:val="001479F1"/>
    <w:rsid w:val="00147B44"/>
    <w:rsid w:val="00147CEF"/>
    <w:rsid w:val="00147E41"/>
    <w:rsid w:val="00147E9F"/>
    <w:rsid w:val="00150110"/>
    <w:rsid w:val="00150120"/>
    <w:rsid w:val="0015019D"/>
    <w:rsid w:val="0015023C"/>
    <w:rsid w:val="00150724"/>
    <w:rsid w:val="001509CC"/>
    <w:rsid w:val="001509D1"/>
    <w:rsid w:val="00150AF4"/>
    <w:rsid w:val="00150F8A"/>
    <w:rsid w:val="0015121F"/>
    <w:rsid w:val="0015137C"/>
    <w:rsid w:val="001514E9"/>
    <w:rsid w:val="001516AB"/>
    <w:rsid w:val="001517CC"/>
    <w:rsid w:val="001517CF"/>
    <w:rsid w:val="00151EE2"/>
    <w:rsid w:val="00151F9C"/>
    <w:rsid w:val="0015200C"/>
    <w:rsid w:val="001520C2"/>
    <w:rsid w:val="001521DF"/>
    <w:rsid w:val="001522DC"/>
    <w:rsid w:val="00152312"/>
    <w:rsid w:val="0015234E"/>
    <w:rsid w:val="0015235A"/>
    <w:rsid w:val="00152391"/>
    <w:rsid w:val="0015243C"/>
    <w:rsid w:val="00152494"/>
    <w:rsid w:val="0015252B"/>
    <w:rsid w:val="0015254C"/>
    <w:rsid w:val="0015256D"/>
    <w:rsid w:val="00152850"/>
    <w:rsid w:val="00152A8D"/>
    <w:rsid w:val="00152A91"/>
    <w:rsid w:val="00152E04"/>
    <w:rsid w:val="00152EFD"/>
    <w:rsid w:val="00152F59"/>
    <w:rsid w:val="001530BB"/>
    <w:rsid w:val="001532DA"/>
    <w:rsid w:val="001533F6"/>
    <w:rsid w:val="00153430"/>
    <w:rsid w:val="0015358F"/>
    <w:rsid w:val="001536D7"/>
    <w:rsid w:val="00153713"/>
    <w:rsid w:val="0015375F"/>
    <w:rsid w:val="00153BBB"/>
    <w:rsid w:val="00153CF8"/>
    <w:rsid w:val="00153D8B"/>
    <w:rsid w:val="00154032"/>
    <w:rsid w:val="001540DF"/>
    <w:rsid w:val="00154171"/>
    <w:rsid w:val="0015429E"/>
    <w:rsid w:val="00154385"/>
    <w:rsid w:val="00154563"/>
    <w:rsid w:val="001549AD"/>
    <w:rsid w:val="00154AA6"/>
    <w:rsid w:val="00154B7F"/>
    <w:rsid w:val="001551A2"/>
    <w:rsid w:val="001551E7"/>
    <w:rsid w:val="00155694"/>
    <w:rsid w:val="00155995"/>
    <w:rsid w:val="00155CE5"/>
    <w:rsid w:val="00155D05"/>
    <w:rsid w:val="00155D7F"/>
    <w:rsid w:val="00155D97"/>
    <w:rsid w:val="00155DCB"/>
    <w:rsid w:val="00155F2F"/>
    <w:rsid w:val="0015609B"/>
    <w:rsid w:val="00156150"/>
    <w:rsid w:val="001561DB"/>
    <w:rsid w:val="001563AD"/>
    <w:rsid w:val="00156715"/>
    <w:rsid w:val="001567E1"/>
    <w:rsid w:val="00156862"/>
    <w:rsid w:val="001568AE"/>
    <w:rsid w:val="00156B09"/>
    <w:rsid w:val="00156B7C"/>
    <w:rsid w:val="00156EC6"/>
    <w:rsid w:val="00157054"/>
    <w:rsid w:val="001570F2"/>
    <w:rsid w:val="001572DF"/>
    <w:rsid w:val="0015762F"/>
    <w:rsid w:val="00157977"/>
    <w:rsid w:val="00157C91"/>
    <w:rsid w:val="00157D7D"/>
    <w:rsid w:val="00157F31"/>
    <w:rsid w:val="00157F5A"/>
    <w:rsid w:val="001603BE"/>
    <w:rsid w:val="001603FC"/>
    <w:rsid w:val="0016041E"/>
    <w:rsid w:val="00160939"/>
    <w:rsid w:val="00160C21"/>
    <w:rsid w:val="00160C3E"/>
    <w:rsid w:val="00160E2B"/>
    <w:rsid w:val="00160ECC"/>
    <w:rsid w:val="00160ED2"/>
    <w:rsid w:val="001612E1"/>
    <w:rsid w:val="0016147E"/>
    <w:rsid w:val="00161506"/>
    <w:rsid w:val="0016153B"/>
    <w:rsid w:val="00161568"/>
    <w:rsid w:val="00161839"/>
    <w:rsid w:val="001618C0"/>
    <w:rsid w:val="001618DC"/>
    <w:rsid w:val="0016193F"/>
    <w:rsid w:val="00161A53"/>
    <w:rsid w:val="00161ACE"/>
    <w:rsid w:val="00161D3B"/>
    <w:rsid w:val="00161E0A"/>
    <w:rsid w:val="00161E19"/>
    <w:rsid w:val="00161E25"/>
    <w:rsid w:val="00162095"/>
    <w:rsid w:val="0016215A"/>
    <w:rsid w:val="00162297"/>
    <w:rsid w:val="0016249B"/>
    <w:rsid w:val="0016258A"/>
    <w:rsid w:val="0016270E"/>
    <w:rsid w:val="0016278D"/>
    <w:rsid w:val="00162ADF"/>
    <w:rsid w:val="00162B2B"/>
    <w:rsid w:val="0016315C"/>
    <w:rsid w:val="00163219"/>
    <w:rsid w:val="00163589"/>
    <w:rsid w:val="00163ABA"/>
    <w:rsid w:val="00163C9D"/>
    <w:rsid w:val="00163D1C"/>
    <w:rsid w:val="00163EF8"/>
    <w:rsid w:val="00163F00"/>
    <w:rsid w:val="00163F0F"/>
    <w:rsid w:val="0016402C"/>
    <w:rsid w:val="001643F7"/>
    <w:rsid w:val="00164435"/>
    <w:rsid w:val="001646A3"/>
    <w:rsid w:val="00164786"/>
    <w:rsid w:val="00164A12"/>
    <w:rsid w:val="00164ACE"/>
    <w:rsid w:val="00164AE0"/>
    <w:rsid w:val="00164C9D"/>
    <w:rsid w:val="00164D3F"/>
    <w:rsid w:val="00164D78"/>
    <w:rsid w:val="00164F71"/>
    <w:rsid w:val="00165016"/>
    <w:rsid w:val="00165030"/>
    <w:rsid w:val="00165045"/>
    <w:rsid w:val="001650E3"/>
    <w:rsid w:val="00165809"/>
    <w:rsid w:val="001658BE"/>
    <w:rsid w:val="00165D4F"/>
    <w:rsid w:val="0016618A"/>
    <w:rsid w:val="001662DC"/>
    <w:rsid w:val="00166347"/>
    <w:rsid w:val="0016642D"/>
    <w:rsid w:val="00166431"/>
    <w:rsid w:val="0016661D"/>
    <w:rsid w:val="00166628"/>
    <w:rsid w:val="00166660"/>
    <w:rsid w:val="001666FA"/>
    <w:rsid w:val="00166701"/>
    <w:rsid w:val="00166790"/>
    <w:rsid w:val="001667B1"/>
    <w:rsid w:val="00166822"/>
    <w:rsid w:val="0016682D"/>
    <w:rsid w:val="0016683D"/>
    <w:rsid w:val="00166913"/>
    <w:rsid w:val="00166BE8"/>
    <w:rsid w:val="00166D18"/>
    <w:rsid w:val="00166D27"/>
    <w:rsid w:val="00166D4E"/>
    <w:rsid w:val="00166D9E"/>
    <w:rsid w:val="0016712D"/>
    <w:rsid w:val="001671FD"/>
    <w:rsid w:val="0016732A"/>
    <w:rsid w:val="0016797C"/>
    <w:rsid w:val="00167D5D"/>
    <w:rsid w:val="00167F02"/>
    <w:rsid w:val="001700C2"/>
    <w:rsid w:val="001700FA"/>
    <w:rsid w:val="00170127"/>
    <w:rsid w:val="00170364"/>
    <w:rsid w:val="001703FD"/>
    <w:rsid w:val="0017052B"/>
    <w:rsid w:val="001707DB"/>
    <w:rsid w:val="001709AE"/>
    <w:rsid w:val="00170B53"/>
    <w:rsid w:val="00170C41"/>
    <w:rsid w:val="00170CFD"/>
    <w:rsid w:val="00170E0E"/>
    <w:rsid w:val="00170EEB"/>
    <w:rsid w:val="0017158B"/>
    <w:rsid w:val="00171724"/>
    <w:rsid w:val="00171774"/>
    <w:rsid w:val="001719A4"/>
    <w:rsid w:val="00171AF9"/>
    <w:rsid w:val="00171C68"/>
    <w:rsid w:val="00171D05"/>
    <w:rsid w:val="0017213E"/>
    <w:rsid w:val="00172442"/>
    <w:rsid w:val="001724C0"/>
    <w:rsid w:val="001727AD"/>
    <w:rsid w:val="00172832"/>
    <w:rsid w:val="001728C5"/>
    <w:rsid w:val="00172BCD"/>
    <w:rsid w:val="00172F09"/>
    <w:rsid w:val="00172F56"/>
    <w:rsid w:val="001730A2"/>
    <w:rsid w:val="0017340E"/>
    <w:rsid w:val="00173428"/>
    <w:rsid w:val="001734DB"/>
    <w:rsid w:val="0017360D"/>
    <w:rsid w:val="0017364D"/>
    <w:rsid w:val="001737ED"/>
    <w:rsid w:val="00173828"/>
    <w:rsid w:val="0017390C"/>
    <w:rsid w:val="00173BB5"/>
    <w:rsid w:val="00173CCE"/>
    <w:rsid w:val="00173FEF"/>
    <w:rsid w:val="00174052"/>
    <w:rsid w:val="001740D6"/>
    <w:rsid w:val="00174609"/>
    <w:rsid w:val="00174A67"/>
    <w:rsid w:val="00174B12"/>
    <w:rsid w:val="00174C73"/>
    <w:rsid w:val="00174D63"/>
    <w:rsid w:val="00174D7F"/>
    <w:rsid w:val="001752AF"/>
    <w:rsid w:val="00175360"/>
    <w:rsid w:val="001753C4"/>
    <w:rsid w:val="0017589F"/>
    <w:rsid w:val="00175F49"/>
    <w:rsid w:val="00175F66"/>
    <w:rsid w:val="001761DB"/>
    <w:rsid w:val="00176258"/>
    <w:rsid w:val="0017628B"/>
    <w:rsid w:val="0017631E"/>
    <w:rsid w:val="001764D0"/>
    <w:rsid w:val="0017650A"/>
    <w:rsid w:val="001765A8"/>
    <w:rsid w:val="001765CD"/>
    <w:rsid w:val="00176AD9"/>
    <w:rsid w:val="00176C9E"/>
    <w:rsid w:val="00176CBA"/>
    <w:rsid w:val="00176E61"/>
    <w:rsid w:val="00176EC9"/>
    <w:rsid w:val="00177006"/>
    <w:rsid w:val="001771B1"/>
    <w:rsid w:val="0017776E"/>
    <w:rsid w:val="00177A4A"/>
    <w:rsid w:val="00177B57"/>
    <w:rsid w:val="00177BF9"/>
    <w:rsid w:val="00177CEC"/>
    <w:rsid w:val="00177D77"/>
    <w:rsid w:val="00177ED5"/>
    <w:rsid w:val="00177F4A"/>
    <w:rsid w:val="0018015E"/>
    <w:rsid w:val="00180237"/>
    <w:rsid w:val="0018027D"/>
    <w:rsid w:val="001804EB"/>
    <w:rsid w:val="00180801"/>
    <w:rsid w:val="00180C47"/>
    <w:rsid w:val="00180CCF"/>
    <w:rsid w:val="00180CF4"/>
    <w:rsid w:val="00180F80"/>
    <w:rsid w:val="001817FC"/>
    <w:rsid w:val="001818E9"/>
    <w:rsid w:val="0018190C"/>
    <w:rsid w:val="00181B24"/>
    <w:rsid w:val="00181B90"/>
    <w:rsid w:val="00181C3B"/>
    <w:rsid w:val="001820D2"/>
    <w:rsid w:val="00182111"/>
    <w:rsid w:val="001824D3"/>
    <w:rsid w:val="001825AB"/>
    <w:rsid w:val="001825D5"/>
    <w:rsid w:val="0018261B"/>
    <w:rsid w:val="0018267B"/>
    <w:rsid w:val="00182B60"/>
    <w:rsid w:val="00182B87"/>
    <w:rsid w:val="00182CF8"/>
    <w:rsid w:val="00182D67"/>
    <w:rsid w:val="001831D3"/>
    <w:rsid w:val="0018336F"/>
    <w:rsid w:val="00183452"/>
    <w:rsid w:val="0018346F"/>
    <w:rsid w:val="001837E8"/>
    <w:rsid w:val="001838F9"/>
    <w:rsid w:val="00183BE8"/>
    <w:rsid w:val="00183C54"/>
    <w:rsid w:val="00183C66"/>
    <w:rsid w:val="00183EA2"/>
    <w:rsid w:val="00183EA3"/>
    <w:rsid w:val="001841D1"/>
    <w:rsid w:val="001841E6"/>
    <w:rsid w:val="0018422E"/>
    <w:rsid w:val="00184539"/>
    <w:rsid w:val="001845E7"/>
    <w:rsid w:val="0018484E"/>
    <w:rsid w:val="001848F2"/>
    <w:rsid w:val="001849A0"/>
    <w:rsid w:val="00184A8A"/>
    <w:rsid w:val="00184ED8"/>
    <w:rsid w:val="00185111"/>
    <w:rsid w:val="001853FF"/>
    <w:rsid w:val="001858F1"/>
    <w:rsid w:val="0018590C"/>
    <w:rsid w:val="00185A8F"/>
    <w:rsid w:val="00185ACA"/>
    <w:rsid w:val="00185B51"/>
    <w:rsid w:val="00185D00"/>
    <w:rsid w:val="00185D90"/>
    <w:rsid w:val="00185E4C"/>
    <w:rsid w:val="00185F3F"/>
    <w:rsid w:val="00186316"/>
    <w:rsid w:val="00186324"/>
    <w:rsid w:val="0018640B"/>
    <w:rsid w:val="001864AD"/>
    <w:rsid w:val="001865CD"/>
    <w:rsid w:val="00186657"/>
    <w:rsid w:val="001867E8"/>
    <w:rsid w:val="001869CF"/>
    <w:rsid w:val="00186B8F"/>
    <w:rsid w:val="00186CB9"/>
    <w:rsid w:val="00186F4C"/>
    <w:rsid w:val="00186F9C"/>
    <w:rsid w:val="0018716A"/>
    <w:rsid w:val="0018740E"/>
    <w:rsid w:val="0018745C"/>
    <w:rsid w:val="0018748C"/>
    <w:rsid w:val="00187D59"/>
    <w:rsid w:val="00187DFA"/>
    <w:rsid w:val="001900B9"/>
    <w:rsid w:val="001904E0"/>
    <w:rsid w:val="001904EE"/>
    <w:rsid w:val="00190533"/>
    <w:rsid w:val="0019063E"/>
    <w:rsid w:val="001906B4"/>
    <w:rsid w:val="00190937"/>
    <w:rsid w:val="00190B13"/>
    <w:rsid w:val="00190E10"/>
    <w:rsid w:val="00191060"/>
    <w:rsid w:val="0019110D"/>
    <w:rsid w:val="00191279"/>
    <w:rsid w:val="00191353"/>
    <w:rsid w:val="001913B4"/>
    <w:rsid w:val="001914BE"/>
    <w:rsid w:val="0019151C"/>
    <w:rsid w:val="00191675"/>
    <w:rsid w:val="001916B7"/>
    <w:rsid w:val="001917F7"/>
    <w:rsid w:val="001918F8"/>
    <w:rsid w:val="00191941"/>
    <w:rsid w:val="00191A5E"/>
    <w:rsid w:val="00191AB0"/>
    <w:rsid w:val="00191E09"/>
    <w:rsid w:val="00191F4B"/>
    <w:rsid w:val="00191F4F"/>
    <w:rsid w:val="00192130"/>
    <w:rsid w:val="001924E0"/>
    <w:rsid w:val="001924FF"/>
    <w:rsid w:val="00192597"/>
    <w:rsid w:val="001925CE"/>
    <w:rsid w:val="0019267C"/>
    <w:rsid w:val="001926B5"/>
    <w:rsid w:val="001927D4"/>
    <w:rsid w:val="001929B2"/>
    <w:rsid w:val="00192AD4"/>
    <w:rsid w:val="00192E94"/>
    <w:rsid w:val="001931D8"/>
    <w:rsid w:val="001935C7"/>
    <w:rsid w:val="0019366D"/>
    <w:rsid w:val="001937EC"/>
    <w:rsid w:val="001937EF"/>
    <w:rsid w:val="001937F5"/>
    <w:rsid w:val="00193844"/>
    <w:rsid w:val="00193897"/>
    <w:rsid w:val="00193907"/>
    <w:rsid w:val="00193918"/>
    <w:rsid w:val="001939E8"/>
    <w:rsid w:val="00193AE6"/>
    <w:rsid w:val="00193BE6"/>
    <w:rsid w:val="00193C16"/>
    <w:rsid w:val="00193C32"/>
    <w:rsid w:val="001941FE"/>
    <w:rsid w:val="00194314"/>
    <w:rsid w:val="0019443D"/>
    <w:rsid w:val="00194623"/>
    <w:rsid w:val="0019469F"/>
    <w:rsid w:val="0019474F"/>
    <w:rsid w:val="001949F0"/>
    <w:rsid w:val="00194B0F"/>
    <w:rsid w:val="00194C07"/>
    <w:rsid w:val="00194D68"/>
    <w:rsid w:val="00194E29"/>
    <w:rsid w:val="00194F18"/>
    <w:rsid w:val="00194FB4"/>
    <w:rsid w:val="00194FE1"/>
    <w:rsid w:val="001950D9"/>
    <w:rsid w:val="001950F3"/>
    <w:rsid w:val="001951C2"/>
    <w:rsid w:val="001954A0"/>
    <w:rsid w:val="0019580C"/>
    <w:rsid w:val="0019584E"/>
    <w:rsid w:val="001958EA"/>
    <w:rsid w:val="00195E44"/>
    <w:rsid w:val="00195EE0"/>
    <w:rsid w:val="001962AB"/>
    <w:rsid w:val="001962B4"/>
    <w:rsid w:val="00196552"/>
    <w:rsid w:val="001966B4"/>
    <w:rsid w:val="0019679B"/>
    <w:rsid w:val="00196986"/>
    <w:rsid w:val="0019699E"/>
    <w:rsid w:val="00196AAA"/>
    <w:rsid w:val="00196EE9"/>
    <w:rsid w:val="00196EF8"/>
    <w:rsid w:val="0019714A"/>
    <w:rsid w:val="001973CF"/>
    <w:rsid w:val="0019748C"/>
    <w:rsid w:val="001976F5"/>
    <w:rsid w:val="00197772"/>
    <w:rsid w:val="001977ED"/>
    <w:rsid w:val="00197A04"/>
    <w:rsid w:val="00197A7A"/>
    <w:rsid w:val="00197C4F"/>
    <w:rsid w:val="00197DFE"/>
    <w:rsid w:val="001A02AB"/>
    <w:rsid w:val="001A0322"/>
    <w:rsid w:val="001A0452"/>
    <w:rsid w:val="001A04C5"/>
    <w:rsid w:val="001A05E7"/>
    <w:rsid w:val="001A06AE"/>
    <w:rsid w:val="001A0704"/>
    <w:rsid w:val="001A0885"/>
    <w:rsid w:val="001A0C45"/>
    <w:rsid w:val="001A0C75"/>
    <w:rsid w:val="001A0DED"/>
    <w:rsid w:val="001A0E57"/>
    <w:rsid w:val="001A101C"/>
    <w:rsid w:val="001A1295"/>
    <w:rsid w:val="001A19B5"/>
    <w:rsid w:val="001A1A11"/>
    <w:rsid w:val="001A1CFE"/>
    <w:rsid w:val="001A1E85"/>
    <w:rsid w:val="001A2177"/>
    <w:rsid w:val="001A2180"/>
    <w:rsid w:val="001A21D6"/>
    <w:rsid w:val="001A2364"/>
    <w:rsid w:val="001A23E9"/>
    <w:rsid w:val="001A263D"/>
    <w:rsid w:val="001A26C0"/>
    <w:rsid w:val="001A28A3"/>
    <w:rsid w:val="001A2A42"/>
    <w:rsid w:val="001A2B0C"/>
    <w:rsid w:val="001A2B6A"/>
    <w:rsid w:val="001A2EEF"/>
    <w:rsid w:val="001A317F"/>
    <w:rsid w:val="001A3203"/>
    <w:rsid w:val="001A3214"/>
    <w:rsid w:val="001A32F7"/>
    <w:rsid w:val="001A38A9"/>
    <w:rsid w:val="001A38E7"/>
    <w:rsid w:val="001A3949"/>
    <w:rsid w:val="001A395F"/>
    <w:rsid w:val="001A3CA1"/>
    <w:rsid w:val="001A3CF1"/>
    <w:rsid w:val="001A3DBE"/>
    <w:rsid w:val="001A401E"/>
    <w:rsid w:val="001A40E4"/>
    <w:rsid w:val="001A419A"/>
    <w:rsid w:val="001A4252"/>
    <w:rsid w:val="001A44FA"/>
    <w:rsid w:val="001A46B2"/>
    <w:rsid w:val="001A4B40"/>
    <w:rsid w:val="001A4C09"/>
    <w:rsid w:val="001A4C5C"/>
    <w:rsid w:val="001A4D07"/>
    <w:rsid w:val="001A4F8A"/>
    <w:rsid w:val="001A5593"/>
    <w:rsid w:val="001A56A3"/>
    <w:rsid w:val="001A574F"/>
    <w:rsid w:val="001A585E"/>
    <w:rsid w:val="001A58B6"/>
    <w:rsid w:val="001A58D3"/>
    <w:rsid w:val="001A5931"/>
    <w:rsid w:val="001A597D"/>
    <w:rsid w:val="001A5BB0"/>
    <w:rsid w:val="001A5BCD"/>
    <w:rsid w:val="001A5F6C"/>
    <w:rsid w:val="001A60FA"/>
    <w:rsid w:val="001A6101"/>
    <w:rsid w:val="001A611B"/>
    <w:rsid w:val="001A6A0A"/>
    <w:rsid w:val="001A6BBE"/>
    <w:rsid w:val="001A6C2B"/>
    <w:rsid w:val="001A6F75"/>
    <w:rsid w:val="001A70B2"/>
    <w:rsid w:val="001A70F7"/>
    <w:rsid w:val="001A726E"/>
    <w:rsid w:val="001A7797"/>
    <w:rsid w:val="001A7AA0"/>
    <w:rsid w:val="001A7B50"/>
    <w:rsid w:val="001A7C2C"/>
    <w:rsid w:val="001A7C33"/>
    <w:rsid w:val="001A7D3D"/>
    <w:rsid w:val="001A7E90"/>
    <w:rsid w:val="001A7F8D"/>
    <w:rsid w:val="001A7FC9"/>
    <w:rsid w:val="001B01AB"/>
    <w:rsid w:val="001B06DD"/>
    <w:rsid w:val="001B07C9"/>
    <w:rsid w:val="001B08C4"/>
    <w:rsid w:val="001B09B2"/>
    <w:rsid w:val="001B0AC3"/>
    <w:rsid w:val="001B0D4E"/>
    <w:rsid w:val="001B0D94"/>
    <w:rsid w:val="001B0E46"/>
    <w:rsid w:val="001B0F7A"/>
    <w:rsid w:val="001B0F7D"/>
    <w:rsid w:val="001B108E"/>
    <w:rsid w:val="001B11B9"/>
    <w:rsid w:val="001B129C"/>
    <w:rsid w:val="001B1584"/>
    <w:rsid w:val="001B1776"/>
    <w:rsid w:val="001B177E"/>
    <w:rsid w:val="001B18DB"/>
    <w:rsid w:val="001B1C33"/>
    <w:rsid w:val="001B1D61"/>
    <w:rsid w:val="001B1E85"/>
    <w:rsid w:val="001B208D"/>
    <w:rsid w:val="001B214A"/>
    <w:rsid w:val="001B2436"/>
    <w:rsid w:val="001B28EC"/>
    <w:rsid w:val="001B2D72"/>
    <w:rsid w:val="001B2DDD"/>
    <w:rsid w:val="001B327F"/>
    <w:rsid w:val="001B3449"/>
    <w:rsid w:val="001B356E"/>
    <w:rsid w:val="001B3724"/>
    <w:rsid w:val="001B3778"/>
    <w:rsid w:val="001B38EA"/>
    <w:rsid w:val="001B39C5"/>
    <w:rsid w:val="001B39CE"/>
    <w:rsid w:val="001B3A0F"/>
    <w:rsid w:val="001B3A3D"/>
    <w:rsid w:val="001B3AE8"/>
    <w:rsid w:val="001B3B57"/>
    <w:rsid w:val="001B3B86"/>
    <w:rsid w:val="001B3E01"/>
    <w:rsid w:val="001B3ECB"/>
    <w:rsid w:val="001B3F47"/>
    <w:rsid w:val="001B3F55"/>
    <w:rsid w:val="001B4210"/>
    <w:rsid w:val="001B42A2"/>
    <w:rsid w:val="001B42DE"/>
    <w:rsid w:val="001B458A"/>
    <w:rsid w:val="001B45A6"/>
    <w:rsid w:val="001B45EF"/>
    <w:rsid w:val="001B47A6"/>
    <w:rsid w:val="001B4860"/>
    <w:rsid w:val="001B48A6"/>
    <w:rsid w:val="001B48D6"/>
    <w:rsid w:val="001B4B3C"/>
    <w:rsid w:val="001B4B86"/>
    <w:rsid w:val="001B4DB3"/>
    <w:rsid w:val="001B4F8B"/>
    <w:rsid w:val="001B510C"/>
    <w:rsid w:val="001B51AB"/>
    <w:rsid w:val="001B543A"/>
    <w:rsid w:val="001B55F4"/>
    <w:rsid w:val="001B5601"/>
    <w:rsid w:val="001B56AC"/>
    <w:rsid w:val="001B56DD"/>
    <w:rsid w:val="001B575C"/>
    <w:rsid w:val="001B58E4"/>
    <w:rsid w:val="001B59CB"/>
    <w:rsid w:val="001B5C14"/>
    <w:rsid w:val="001B5C42"/>
    <w:rsid w:val="001B5E91"/>
    <w:rsid w:val="001B6008"/>
    <w:rsid w:val="001B60E3"/>
    <w:rsid w:val="001B6206"/>
    <w:rsid w:val="001B62EB"/>
    <w:rsid w:val="001B6553"/>
    <w:rsid w:val="001B6635"/>
    <w:rsid w:val="001B674B"/>
    <w:rsid w:val="001B6899"/>
    <w:rsid w:val="001B698A"/>
    <w:rsid w:val="001B6ACE"/>
    <w:rsid w:val="001B6BED"/>
    <w:rsid w:val="001B6C7C"/>
    <w:rsid w:val="001B7014"/>
    <w:rsid w:val="001B71E1"/>
    <w:rsid w:val="001B7245"/>
    <w:rsid w:val="001B767C"/>
    <w:rsid w:val="001B76D8"/>
    <w:rsid w:val="001B7750"/>
    <w:rsid w:val="001B78B5"/>
    <w:rsid w:val="001B794B"/>
    <w:rsid w:val="001B7ABA"/>
    <w:rsid w:val="001B7ABE"/>
    <w:rsid w:val="001B7C26"/>
    <w:rsid w:val="001B7E0D"/>
    <w:rsid w:val="001B7E18"/>
    <w:rsid w:val="001B7EDA"/>
    <w:rsid w:val="001C0182"/>
    <w:rsid w:val="001C026F"/>
    <w:rsid w:val="001C03C1"/>
    <w:rsid w:val="001C03C7"/>
    <w:rsid w:val="001C07FD"/>
    <w:rsid w:val="001C0873"/>
    <w:rsid w:val="001C094E"/>
    <w:rsid w:val="001C09B9"/>
    <w:rsid w:val="001C0A3F"/>
    <w:rsid w:val="001C0B35"/>
    <w:rsid w:val="001C0BCE"/>
    <w:rsid w:val="001C0CAF"/>
    <w:rsid w:val="001C0DB2"/>
    <w:rsid w:val="001C0DEF"/>
    <w:rsid w:val="001C177A"/>
    <w:rsid w:val="001C181D"/>
    <w:rsid w:val="001C1A9C"/>
    <w:rsid w:val="001C1B65"/>
    <w:rsid w:val="001C1DEE"/>
    <w:rsid w:val="001C2110"/>
    <w:rsid w:val="001C220C"/>
    <w:rsid w:val="001C2279"/>
    <w:rsid w:val="001C27BB"/>
    <w:rsid w:val="001C2B3A"/>
    <w:rsid w:val="001C2B4F"/>
    <w:rsid w:val="001C2B81"/>
    <w:rsid w:val="001C2BFF"/>
    <w:rsid w:val="001C2D36"/>
    <w:rsid w:val="001C2D73"/>
    <w:rsid w:val="001C300B"/>
    <w:rsid w:val="001C3032"/>
    <w:rsid w:val="001C3227"/>
    <w:rsid w:val="001C38EC"/>
    <w:rsid w:val="001C3A8A"/>
    <w:rsid w:val="001C3AA3"/>
    <w:rsid w:val="001C3BF7"/>
    <w:rsid w:val="001C3C47"/>
    <w:rsid w:val="001C3E20"/>
    <w:rsid w:val="001C3E46"/>
    <w:rsid w:val="001C40AD"/>
    <w:rsid w:val="001C40F7"/>
    <w:rsid w:val="001C4268"/>
    <w:rsid w:val="001C43BD"/>
    <w:rsid w:val="001C464A"/>
    <w:rsid w:val="001C4AC4"/>
    <w:rsid w:val="001C4D74"/>
    <w:rsid w:val="001C4F58"/>
    <w:rsid w:val="001C51FE"/>
    <w:rsid w:val="001C5282"/>
    <w:rsid w:val="001C52D7"/>
    <w:rsid w:val="001C5766"/>
    <w:rsid w:val="001C58D3"/>
    <w:rsid w:val="001C5A66"/>
    <w:rsid w:val="001C5C87"/>
    <w:rsid w:val="001C5D56"/>
    <w:rsid w:val="001C5D66"/>
    <w:rsid w:val="001C5D78"/>
    <w:rsid w:val="001C5E6C"/>
    <w:rsid w:val="001C6117"/>
    <w:rsid w:val="001C6332"/>
    <w:rsid w:val="001C638F"/>
    <w:rsid w:val="001C640A"/>
    <w:rsid w:val="001C6567"/>
    <w:rsid w:val="001C6646"/>
    <w:rsid w:val="001C66B0"/>
    <w:rsid w:val="001C66C6"/>
    <w:rsid w:val="001C67F5"/>
    <w:rsid w:val="001C6823"/>
    <w:rsid w:val="001C6892"/>
    <w:rsid w:val="001C6BEF"/>
    <w:rsid w:val="001C6C9D"/>
    <w:rsid w:val="001C7483"/>
    <w:rsid w:val="001C7540"/>
    <w:rsid w:val="001C7746"/>
    <w:rsid w:val="001C7C5F"/>
    <w:rsid w:val="001C7D15"/>
    <w:rsid w:val="001C7D7E"/>
    <w:rsid w:val="001D01F8"/>
    <w:rsid w:val="001D0240"/>
    <w:rsid w:val="001D02EC"/>
    <w:rsid w:val="001D0358"/>
    <w:rsid w:val="001D03F5"/>
    <w:rsid w:val="001D0543"/>
    <w:rsid w:val="001D0557"/>
    <w:rsid w:val="001D063A"/>
    <w:rsid w:val="001D091E"/>
    <w:rsid w:val="001D09BC"/>
    <w:rsid w:val="001D0C26"/>
    <w:rsid w:val="001D0CE6"/>
    <w:rsid w:val="001D0EBF"/>
    <w:rsid w:val="001D1108"/>
    <w:rsid w:val="001D131A"/>
    <w:rsid w:val="001D142C"/>
    <w:rsid w:val="001D1776"/>
    <w:rsid w:val="001D1790"/>
    <w:rsid w:val="001D17DF"/>
    <w:rsid w:val="001D18E2"/>
    <w:rsid w:val="001D1AD0"/>
    <w:rsid w:val="001D1CB4"/>
    <w:rsid w:val="001D1D1B"/>
    <w:rsid w:val="001D1D4C"/>
    <w:rsid w:val="001D1E15"/>
    <w:rsid w:val="001D205B"/>
    <w:rsid w:val="001D20E9"/>
    <w:rsid w:val="001D2363"/>
    <w:rsid w:val="001D23D3"/>
    <w:rsid w:val="001D2439"/>
    <w:rsid w:val="001D243F"/>
    <w:rsid w:val="001D2443"/>
    <w:rsid w:val="001D253A"/>
    <w:rsid w:val="001D2547"/>
    <w:rsid w:val="001D2577"/>
    <w:rsid w:val="001D2774"/>
    <w:rsid w:val="001D2A22"/>
    <w:rsid w:val="001D2CF6"/>
    <w:rsid w:val="001D2DB0"/>
    <w:rsid w:val="001D2DB8"/>
    <w:rsid w:val="001D2F1D"/>
    <w:rsid w:val="001D2F67"/>
    <w:rsid w:val="001D3044"/>
    <w:rsid w:val="001D3193"/>
    <w:rsid w:val="001D328C"/>
    <w:rsid w:val="001D32A9"/>
    <w:rsid w:val="001D337F"/>
    <w:rsid w:val="001D3453"/>
    <w:rsid w:val="001D37A3"/>
    <w:rsid w:val="001D3815"/>
    <w:rsid w:val="001D3889"/>
    <w:rsid w:val="001D38D9"/>
    <w:rsid w:val="001D3B1F"/>
    <w:rsid w:val="001D3BB8"/>
    <w:rsid w:val="001D3D78"/>
    <w:rsid w:val="001D3F4E"/>
    <w:rsid w:val="001D4019"/>
    <w:rsid w:val="001D42E9"/>
    <w:rsid w:val="001D482E"/>
    <w:rsid w:val="001D48A3"/>
    <w:rsid w:val="001D4A1B"/>
    <w:rsid w:val="001D4B09"/>
    <w:rsid w:val="001D4D3A"/>
    <w:rsid w:val="001D50DA"/>
    <w:rsid w:val="001D5848"/>
    <w:rsid w:val="001D58EE"/>
    <w:rsid w:val="001D590E"/>
    <w:rsid w:val="001D5A0C"/>
    <w:rsid w:val="001D5B8B"/>
    <w:rsid w:val="001D653B"/>
    <w:rsid w:val="001D68A4"/>
    <w:rsid w:val="001D6A7A"/>
    <w:rsid w:val="001D6B8C"/>
    <w:rsid w:val="001D6C09"/>
    <w:rsid w:val="001D6C33"/>
    <w:rsid w:val="001D6C56"/>
    <w:rsid w:val="001D6C83"/>
    <w:rsid w:val="001D6E0B"/>
    <w:rsid w:val="001D70F2"/>
    <w:rsid w:val="001D71D8"/>
    <w:rsid w:val="001D71FC"/>
    <w:rsid w:val="001D7236"/>
    <w:rsid w:val="001D73B4"/>
    <w:rsid w:val="001D743D"/>
    <w:rsid w:val="001D769C"/>
    <w:rsid w:val="001D79A2"/>
    <w:rsid w:val="001D7A0F"/>
    <w:rsid w:val="001D7A68"/>
    <w:rsid w:val="001D7ABC"/>
    <w:rsid w:val="001D7CB2"/>
    <w:rsid w:val="001D7D95"/>
    <w:rsid w:val="001D7E66"/>
    <w:rsid w:val="001D7F73"/>
    <w:rsid w:val="001E00E4"/>
    <w:rsid w:val="001E02D0"/>
    <w:rsid w:val="001E0388"/>
    <w:rsid w:val="001E040E"/>
    <w:rsid w:val="001E0571"/>
    <w:rsid w:val="001E064E"/>
    <w:rsid w:val="001E06DE"/>
    <w:rsid w:val="001E08A5"/>
    <w:rsid w:val="001E08AE"/>
    <w:rsid w:val="001E08EE"/>
    <w:rsid w:val="001E0A3F"/>
    <w:rsid w:val="001E0B99"/>
    <w:rsid w:val="001E0EA2"/>
    <w:rsid w:val="001E0EAA"/>
    <w:rsid w:val="001E10BB"/>
    <w:rsid w:val="001E142D"/>
    <w:rsid w:val="001E1529"/>
    <w:rsid w:val="001E180B"/>
    <w:rsid w:val="001E180D"/>
    <w:rsid w:val="001E18DB"/>
    <w:rsid w:val="001E192C"/>
    <w:rsid w:val="001E1A90"/>
    <w:rsid w:val="001E1B30"/>
    <w:rsid w:val="001E1C0C"/>
    <w:rsid w:val="001E2209"/>
    <w:rsid w:val="001E2271"/>
    <w:rsid w:val="001E2371"/>
    <w:rsid w:val="001E23AA"/>
    <w:rsid w:val="001E23DE"/>
    <w:rsid w:val="001E2633"/>
    <w:rsid w:val="001E267A"/>
    <w:rsid w:val="001E2944"/>
    <w:rsid w:val="001E2A2F"/>
    <w:rsid w:val="001E2B13"/>
    <w:rsid w:val="001E2EFB"/>
    <w:rsid w:val="001E307A"/>
    <w:rsid w:val="001E30AF"/>
    <w:rsid w:val="001E30F4"/>
    <w:rsid w:val="001E3212"/>
    <w:rsid w:val="001E34E0"/>
    <w:rsid w:val="001E3760"/>
    <w:rsid w:val="001E37D5"/>
    <w:rsid w:val="001E3807"/>
    <w:rsid w:val="001E3881"/>
    <w:rsid w:val="001E38AF"/>
    <w:rsid w:val="001E3923"/>
    <w:rsid w:val="001E3945"/>
    <w:rsid w:val="001E39DF"/>
    <w:rsid w:val="001E3EF0"/>
    <w:rsid w:val="001E41DD"/>
    <w:rsid w:val="001E42EF"/>
    <w:rsid w:val="001E44FD"/>
    <w:rsid w:val="001E48A9"/>
    <w:rsid w:val="001E4A5A"/>
    <w:rsid w:val="001E4AC8"/>
    <w:rsid w:val="001E4B1B"/>
    <w:rsid w:val="001E4B60"/>
    <w:rsid w:val="001E4CD0"/>
    <w:rsid w:val="001E4D0A"/>
    <w:rsid w:val="001E5007"/>
    <w:rsid w:val="001E54D7"/>
    <w:rsid w:val="001E58F9"/>
    <w:rsid w:val="001E5A1A"/>
    <w:rsid w:val="001E5A39"/>
    <w:rsid w:val="001E5EA8"/>
    <w:rsid w:val="001E605D"/>
    <w:rsid w:val="001E65DB"/>
    <w:rsid w:val="001E663F"/>
    <w:rsid w:val="001E6654"/>
    <w:rsid w:val="001E6746"/>
    <w:rsid w:val="001E6772"/>
    <w:rsid w:val="001E6891"/>
    <w:rsid w:val="001E69CA"/>
    <w:rsid w:val="001E69DC"/>
    <w:rsid w:val="001E6C15"/>
    <w:rsid w:val="001E6D54"/>
    <w:rsid w:val="001E6EEB"/>
    <w:rsid w:val="001E7040"/>
    <w:rsid w:val="001E7162"/>
    <w:rsid w:val="001E721E"/>
    <w:rsid w:val="001E7346"/>
    <w:rsid w:val="001E76C4"/>
    <w:rsid w:val="001E77B7"/>
    <w:rsid w:val="001E7923"/>
    <w:rsid w:val="001E79A0"/>
    <w:rsid w:val="001E7BD0"/>
    <w:rsid w:val="001E7CEB"/>
    <w:rsid w:val="001E7F29"/>
    <w:rsid w:val="001E7FD9"/>
    <w:rsid w:val="001F0122"/>
    <w:rsid w:val="001F0162"/>
    <w:rsid w:val="001F01D5"/>
    <w:rsid w:val="001F02A7"/>
    <w:rsid w:val="001F03AF"/>
    <w:rsid w:val="001F052C"/>
    <w:rsid w:val="001F0B93"/>
    <w:rsid w:val="001F0DFC"/>
    <w:rsid w:val="001F0E0E"/>
    <w:rsid w:val="001F13D6"/>
    <w:rsid w:val="001F1744"/>
    <w:rsid w:val="001F187A"/>
    <w:rsid w:val="001F193F"/>
    <w:rsid w:val="001F1958"/>
    <w:rsid w:val="001F19DF"/>
    <w:rsid w:val="001F19E0"/>
    <w:rsid w:val="001F1C8B"/>
    <w:rsid w:val="001F1D8F"/>
    <w:rsid w:val="001F1DC3"/>
    <w:rsid w:val="001F1ED4"/>
    <w:rsid w:val="001F1F8F"/>
    <w:rsid w:val="001F21C8"/>
    <w:rsid w:val="001F221E"/>
    <w:rsid w:val="001F2297"/>
    <w:rsid w:val="001F22FC"/>
    <w:rsid w:val="001F2301"/>
    <w:rsid w:val="001F23F6"/>
    <w:rsid w:val="001F246A"/>
    <w:rsid w:val="001F28EB"/>
    <w:rsid w:val="001F2BB1"/>
    <w:rsid w:val="001F2BE5"/>
    <w:rsid w:val="001F2E0C"/>
    <w:rsid w:val="001F2F2A"/>
    <w:rsid w:val="001F3338"/>
    <w:rsid w:val="001F3700"/>
    <w:rsid w:val="001F3930"/>
    <w:rsid w:val="001F39AA"/>
    <w:rsid w:val="001F39C7"/>
    <w:rsid w:val="001F3B6F"/>
    <w:rsid w:val="001F3C01"/>
    <w:rsid w:val="001F3C2B"/>
    <w:rsid w:val="001F3CBA"/>
    <w:rsid w:val="001F3EB4"/>
    <w:rsid w:val="001F3FD3"/>
    <w:rsid w:val="001F3FED"/>
    <w:rsid w:val="001F426A"/>
    <w:rsid w:val="001F42B5"/>
    <w:rsid w:val="001F43AE"/>
    <w:rsid w:val="001F4632"/>
    <w:rsid w:val="001F474E"/>
    <w:rsid w:val="001F4B35"/>
    <w:rsid w:val="001F4DAA"/>
    <w:rsid w:val="001F4DDC"/>
    <w:rsid w:val="001F4E34"/>
    <w:rsid w:val="001F508D"/>
    <w:rsid w:val="001F50E3"/>
    <w:rsid w:val="001F516C"/>
    <w:rsid w:val="001F51ED"/>
    <w:rsid w:val="001F53AB"/>
    <w:rsid w:val="001F53CF"/>
    <w:rsid w:val="001F5470"/>
    <w:rsid w:val="001F5511"/>
    <w:rsid w:val="001F558C"/>
    <w:rsid w:val="001F55B4"/>
    <w:rsid w:val="001F5965"/>
    <w:rsid w:val="001F5DD5"/>
    <w:rsid w:val="001F5FCB"/>
    <w:rsid w:val="001F6049"/>
    <w:rsid w:val="001F608C"/>
    <w:rsid w:val="001F62D5"/>
    <w:rsid w:val="001F6574"/>
    <w:rsid w:val="001F679B"/>
    <w:rsid w:val="001F67EF"/>
    <w:rsid w:val="001F68B4"/>
    <w:rsid w:val="001F6C66"/>
    <w:rsid w:val="001F6C71"/>
    <w:rsid w:val="001F6D6B"/>
    <w:rsid w:val="001F6D8D"/>
    <w:rsid w:val="001F70E7"/>
    <w:rsid w:val="001F70FA"/>
    <w:rsid w:val="001F746F"/>
    <w:rsid w:val="001F78C8"/>
    <w:rsid w:val="001F7972"/>
    <w:rsid w:val="001F7A89"/>
    <w:rsid w:val="001F7B1F"/>
    <w:rsid w:val="001F7B2B"/>
    <w:rsid w:val="001F7BBD"/>
    <w:rsid w:val="001F7C8F"/>
    <w:rsid w:val="001F7D92"/>
    <w:rsid w:val="001F7EF2"/>
    <w:rsid w:val="001F7F04"/>
    <w:rsid w:val="001F7F44"/>
    <w:rsid w:val="002000EB"/>
    <w:rsid w:val="00200146"/>
    <w:rsid w:val="002002AE"/>
    <w:rsid w:val="0020033E"/>
    <w:rsid w:val="00200438"/>
    <w:rsid w:val="00200490"/>
    <w:rsid w:val="002006DC"/>
    <w:rsid w:val="00200773"/>
    <w:rsid w:val="00200816"/>
    <w:rsid w:val="00200A18"/>
    <w:rsid w:val="00200BD5"/>
    <w:rsid w:val="00200D9C"/>
    <w:rsid w:val="00200E75"/>
    <w:rsid w:val="00201379"/>
    <w:rsid w:val="00201432"/>
    <w:rsid w:val="002014D4"/>
    <w:rsid w:val="002015F2"/>
    <w:rsid w:val="0020165D"/>
    <w:rsid w:val="002017CE"/>
    <w:rsid w:val="00201908"/>
    <w:rsid w:val="00201AA6"/>
    <w:rsid w:val="00201DB3"/>
    <w:rsid w:val="002020F0"/>
    <w:rsid w:val="00202105"/>
    <w:rsid w:val="00202219"/>
    <w:rsid w:val="002023C5"/>
    <w:rsid w:val="0020262C"/>
    <w:rsid w:val="002027B4"/>
    <w:rsid w:val="002027FF"/>
    <w:rsid w:val="00202908"/>
    <w:rsid w:val="002029E0"/>
    <w:rsid w:val="002029E7"/>
    <w:rsid w:val="00202A10"/>
    <w:rsid w:val="00202D55"/>
    <w:rsid w:val="00202E3E"/>
    <w:rsid w:val="00202E95"/>
    <w:rsid w:val="00202F42"/>
    <w:rsid w:val="002030D8"/>
    <w:rsid w:val="002031BD"/>
    <w:rsid w:val="00203265"/>
    <w:rsid w:val="00203421"/>
    <w:rsid w:val="00203472"/>
    <w:rsid w:val="00203757"/>
    <w:rsid w:val="002039D8"/>
    <w:rsid w:val="00203A79"/>
    <w:rsid w:val="00203BE3"/>
    <w:rsid w:val="00203C1E"/>
    <w:rsid w:val="00203DF4"/>
    <w:rsid w:val="00203FD5"/>
    <w:rsid w:val="0020418A"/>
    <w:rsid w:val="00204496"/>
    <w:rsid w:val="00204507"/>
    <w:rsid w:val="002045A5"/>
    <w:rsid w:val="002047E3"/>
    <w:rsid w:val="002049F7"/>
    <w:rsid w:val="00204B15"/>
    <w:rsid w:val="00204E9F"/>
    <w:rsid w:val="00204F4F"/>
    <w:rsid w:val="00205385"/>
    <w:rsid w:val="00205388"/>
    <w:rsid w:val="002053A4"/>
    <w:rsid w:val="00205452"/>
    <w:rsid w:val="00205746"/>
    <w:rsid w:val="00205AD7"/>
    <w:rsid w:val="00205DFD"/>
    <w:rsid w:val="00205E22"/>
    <w:rsid w:val="00205E35"/>
    <w:rsid w:val="00206181"/>
    <w:rsid w:val="00206225"/>
    <w:rsid w:val="00206394"/>
    <w:rsid w:val="0020641E"/>
    <w:rsid w:val="002064EF"/>
    <w:rsid w:val="002067E3"/>
    <w:rsid w:val="0020683A"/>
    <w:rsid w:val="0020692E"/>
    <w:rsid w:val="00206F37"/>
    <w:rsid w:val="00207115"/>
    <w:rsid w:val="0020711F"/>
    <w:rsid w:val="00207571"/>
    <w:rsid w:val="00207788"/>
    <w:rsid w:val="00207911"/>
    <w:rsid w:val="00207A01"/>
    <w:rsid w:val="00207CC9"/>
    <w:rsid w:val="0021023C"/>
    <w:rsid w:val="0021032C"/>
    <w:rsid w:val="002103A4"/>
    <w:rsid w:val="00210837"/>
    <w:rsid w:val="00210941"/>
    <w:rsid w:val="00210A40"/>
    <w:rsid w:val="00210BC2"/>
    <w:rsid w:val="00210CAF"/>
    <w:rsid w:val="00210D3E"/>
    <w:rsid w:val="00210E89"/>
    <w:rsid w:val="00210F22"/>
    <w:rsid w:val="002110CA"/>
    <w:rsid w:val="002111FC"/>
    <w:rsid w:val="0021122A"/>
    <w:rsid w:val="00211383"/>
    <w:rsid w:val="00211921"/>
    <w:rsid w:val="00211C5A"/>
    <w:rsid w:val="00211D00"/>
    <w:rsid w:val="00211E45"/>
    <w:rsid w:val="002122D9"/>
    <w:rsid w:val="00212328"/>
    <w:rsid w:val="00212498"/>
    <w:rsid w:val="0021256D"/>
    <w:rsid w:val="00212850"/>
    <w:rsid w:val="0021287A"/>
    <w:rsid w:val="00212B76"/>
    <w:rsid w:val="00212BB0"/>
    <w:rsid w:val="00212C68"/>
    <w:rsid w:val="00212CEF"/>
    <w:rsid w:val="00212D1B"/>
    <w:rsid w:val="00212D32"/>
    <w:rsid w:val="00212EE1"/>
    <w:rsid w:val="00212F33"/>
    <w:rsid w:val="002132B4"/>
    <w:rsid w:val="0021330C"/>
    <w:rsid w:val="0021365A"/>
    <w:rsid w:val="002137C1"/>
    <w:rsid w:val="00213A14"/>
    <w:rsid w:val="00213C81"/>
    <w:rsid w:val="00214128"/>
    <w:rsid w:val="00214168"/>
    <w:rsid w:val="00214288"/>
    <w:rsid w:val="00214565"/>
    <w:rsid w:val="002148C5"/>
    <w:rsid w:val="00214CC0"/>
    <w:rsid w:val="00214E9A"/>
    <w:rsid w:val="0021522A"/>
    <w:rsid w:val="002153F2"/>
    <w:rsid w:val="002156FC"/>
    <w:rsid w:val="0021571F"/>
    <w:rsid w:val="0021574B"/>
    <w:rsid w:val="002157A3"/>
    <w:rsid w:val="002157D6"/>
    <w:rsid w:val="00215B00"/>
    <w:rsid w:val="00215CB9"/>
    <w:rsid w:val="00215E1F"/>
    <w:rsid w:val="0021612C"/>
    <w:rsid w:val="0021615A"/>
    <w:rsid w:val="00216167"/>
    <w:rsid w:val="002162B4"/>
    <w:rsid w:val="002163FE"/>
    <w:rsid w:val="002164DC"/>
    <w:rsid w:val="00216624"/>
    <w:rsid w:val="00216A27"/>
    <w:rsid w:val="00216BF6"/>
    <w:rsid w:val="00216DFC"/>
    <w:rsid w:val="00216F06"/>
    <w:rsid w:val="00216F56"/>
    <w:rsid w:val="0021727E"/>
    <w:rsid w:val="00217775"/>
    <w:rsid w:val="002177A7"/>
    <w:rsid w:val="00217AB1"/>
    <w:rsid w:val="00217C4F"/>
    <w:rsid w:val="00220051"/>
    <w:rsid w:val="00220298"/>
    <w:rsid w:val="00220455"/>
    <w:rsid w:val="0022059B"/>
    <w:rsid w:val="002206BE"/>
    <w:rsid w:val="00220721"/>
    <w:rsid w:val="002207A3"/>
    <w:rsid w:val="002207C6"/>
    <w:rsid w:val="00220ABF"/>
    <w:rsid w:val="00220AF4"/>
    <w:rsid w:val="00220C97"/>
    <w:rsid w:val="00220E81"/>
    <w:rsid w:val="00221080"/>
    <w:rsid w:val="00221156"/>
    <w:rsid w:val="0022140C"/>
    <w:rsid w:val="00221434"/>
    <w:rsid w:val="0022153A"/>
    <w:rsid w:val="0022158C"/>
    <w:rsid w:val="002215F3"/>
    <w:rsid w:val="00221791"/>
    <w:rsid w:val="002217B7"/>
    <w:rsid w:val="00221930"/>
    <w:rsid w:val="00221ABF"/>
    <w:rsid w:val="00221F4F"/>
    <w:rsid w:val="0022235A"/>
    <w:rsid w:val="00222363"/>
    <w:rsid w:val="002224FC"/>
    <w:rsid w:val="00222646"/>
    <w:rsid w:val="00222AAA"/>
    <w:rsid w:val="00222AF8"/>
    <w:rsid w:val="00222DE9"/>
    <w:rsid w:val="002231C1"/>
    <w:rsid w:val="002234DB"/>
    <w:rsid w:val="00223861"/>
    <w:rsid w:val="00223A16"/>
    <w:rsid w:val="00223C47"/>
    <w:rsid w:val="00223C8E"/>
    <w:rsid w:val="00223DF3"/>
    <w:rsid w:val="002241E1"/>
    <w:rsid w:val="00224583"/>
    <w:rsid w:val="002245AB"/>
    <w:rsid w:val="002245C7"/>
    <w:rsid w:val="00224856"/>
    <w:rsid w:val="00224A65"/>
    <w:rsid w:val="0022507B"/>
    <w:rsid w:val="0022535F"/>
    <w:rsid w:val="002253E7"/>
    <w:rsid w:val="002254AE"/>
    <w:rsid w:val="00225705"/>
    <w:rsid w:val="002259EB"/>
    <w:rsid w:val="002259EF"/>
    <w:rsid w:val="00225BA0"/>
    <w:rsid w:val="00225BBA"/>
    <w:rsid w:val="00225D33"/>
    <w:rsid w:val="00225D39"/>
    <w:rsid w:val="00226069"/>
    <w:rsid w:val="0022615D"/>
    <w:rsid w:val="002261E6"/>
    <w:rsid w:val="0022634D"/>
    <w:rsid w:val="00226531"/>
    <w:rsid w:val="002265D6"/>
    <w:rsid w:val="0022689D"/>
    <w:rsid w:val="00226A70"/>
    <w:rsid w:val="00226B97"/>
    <w:rsid w:val="00226C69"/>
    <w:rsid w:val="00226D78"/>
    <w:rsid w:val="00226DCE"/>
    <w:rsid w:val="00226E6B"/>
    <w:rsid w:val="0022707D"/>
    <w:rsid w:val="00227243"/>
    <w:rsid w:val="0022732B"/>
    <w:rsid w:val="0022747D"/>
    <w:rsid w:val="002277E7"/>
    <w:rsid w:val="0022781E"/>
    <w:rsid w:val="002278AA"/>
    <w:rsid w:val="00227943"/>
    <w:rsid w:val="00227A01"/>
    <w:rsid w:val="00227B3C"/>
    <w:rsid w:val="00227CAE"/>
    <w:rsid w:val="00227D38"/>
    <w:rsid w:val="00227F76"/>
    <w:rsid w:val="00227FF1"/>
    <w:rsid w:val="00230128"/>
    <w:rsid w:val="002303B3"/>
    <w:rsid w:val="00230503"/>
    <w:rsid w:val="002305E9"/>
    <w:rsid w:val="00230999"/>
    <w:rsid w:val="002309B0"/>
    <w:rsid w:val="00230AEB"/>
    <w:rsid w:val="00230B58"/>
    <w:rsid w:val="00231055"/>
    <w:rsid w:val="0023113D"/>
    <w:rsid w:val="00231319"/>
    <w:rsid w:val="00231485"/>
    <w:rsid w:val="00231531"/>
    <w:rsid w:val="002315D9"/>
    <w:rsid w:val="00231706"/>
    <w:rsid w:val="00231A83"/>
    <w:rsid w:val="00231B86"/>
    <w:rsid w:val="00231CC1"/>
    <w:rsid w:val="00231F53"/>
    <w:rsid w:val="00232034"/>
    <w:rsid w:val="0023204F"/>
    <w:rsid w:val="00232095"/>
    <w:rsid w:val="002322CF"/>
    <w:rsid w:val="00232422"/>
    <w:rsid w:val="00232645"/>
    <w:rsid w:val="0023268C"/>
    <w:rsid w:val="00232734"/>
    <w:rsid w:val="00232809"/>
    <w:rsid w:val="00232877"/>
    <w:rsid w:val="002329FF"/>
    <w:rsid w:val="00232B6A"/>
    <w:rsid w:val="00232C4B"/>
    <w:rsid w:val="00232F1B"/>
    <w:rsid w:val="00232F46"/>
    <w:rsid w:val="002331E6"/>
    <w:rsid w:val="00233421"/>
    <w:rsid w:val="002335A0"/>
    <w:rsid w:val="002337BE"/>
    <w:rsid w:val="0023385B"/>
    <w:rsid w:val="002338EB"/>
    <w:rsid w:val="00233946"/>
    <w:rsid w:val="00233E63"/>
    <w:rsid w:val="002340BB"/>
    <w:rsid w:val="002343F5"/>
    <w:rsid w:val="0023440B"/>
    <w:rsid w:val="00234486"/>
    <w:rsid w:val="0023460B"/>
    <w:rsid w:val="002346DF"/>
    <w:rsid w:val="00234775"/>
    <w:rsid w:val="00234944"/>
    <w:rsid w:val="002349BF"/>
    <w:rsid w:val="00234B5D"/>
    <w:rsid w:val="00234C4F"/>
    <w:rsid w:val="00234C87"/>
    <w:rsid w:val="00234CF6"/>
    <w:rsid w:val="0023527E"/>
    <w:rsid w:val="002354DD"/>
    <w:rsid w:val="00235957"/>
    <w:rsid w:val="002359F7"/>
    <w:rsid w:val="00235A16"/>
    <w:rsid w:val="00235BF6"/>
    <w:rsid w:val="00235C68"/>
    <w:rsid w:val="00235FCE"/>
    <w:rsid w:val="00235FE7"/>
    <w:rsid w:val="002360E0"/>
    <w:rsid w:val="002360F2"/>
    <w:rsid w:val="00236277"/>
    <w:rsid w:val="002362E5"/>
    <w:rsid w:val="0023673C"/>
    <w:rsid w:val="0023677B"/>
    <w:rsid w:val="00236920"/>
    <w:rsid w:val="002369F9"/>
    <w:rsid w:val="00236B29"/>
    <w:rsid w:val="00236C08"/>
    <w:rsid w:val="00236DFA"/>
    <w:rsid w:val="002372A4"/>
    <w:rsid w:val="002373CA"/>
    <w:rsid w:val="002373DF"/>
    <w:rsid w:val="00237431"/>
    <w:rsid w:val="002375AD"/>
    <w:rsid w:val="00237670"/>
    <w:rsid w:val="002376C3"/>
    <w:rsid w:val="00237985"/>
    <w:rsid w:val="00237BD2"/>
    <w:rsid w:val="00240116"/>
    <w:rsid w:val="00240134"/>
    <w:rsid w:val="00240168"/>
    <w:rsid w:val="002402B3"/>
    <w:rsid w:val="0024048C"/>
    <w:rsid w:val="0024060D"/>
    <w:rsid w:val="002407B4"/>
    <w:rsid w:val="00240C84"/>
    <w:rsid w:val="0024116D"/>
    <w:rsid w:val="00241440"/>
    <w:rsid w:val="002416B9"/>
    <w:rsid w:val="00241784"/>
    <w:rsid w:val="002418A6"/>
    <w:rsid w:val="00241957"/>
    <w:rsid w:val="00241CA2"/>
    <w:rsid w:val="00241DDF"/>
    <w:rsid w:val="00241F01"/>
    <w:rsid w:val="00242193"/>
    <w:rsid w:val="002421BB"/>
    <w:rsid w:val="002422E0"/>
    <w:rsid w:val="00242699"/>
    <w:rsid w:val="00242961"/>
    <w:rsid w:val="002429DF"/>
    <w:rsid w:val="00242A5F"/>
    <w:rsid w:val="00242D37"/>
    <w:rsid w:val="002434A6"/>
    <w:rsid w:val="00243544"/>
    <w:rsid w:val="00243572"/>
    <w:rsid w:val="002435F8"/>
    <w:rsid w:val="0024395C"/>
    <w:rsid w:val="00243969"/>
    <w:rsid w:val="002439B1"/>
    <w:rsid w:val="00243B01"/>
    <w:rsid w:val="00243D59"/>
    <w:rsid w:val="00243DC5"/>
    <w:rsid w:val="00243EBD"/>
    <w:rsid w:val="00244063"/>
    <w:rsid w:val="00244198"/>
    <w:rsid w:val="002441BA"/>
    <w:rsid w:val="00244294"/>
    <w:rsid w:val="002442AD"/>
    <w:rsid w:val="002442C5"/>
    <w:rsid w:val="00244378"/>
    <w:rsid w:val="0024445E"/>
    <w:rsid w:val="00244498"/>
    <w:rsid w:val="002447DC"/>
    <w:rsid w:val="00244870"/>
    <w:rsid w:val="002449D8"/>
    <w:rsid w:val="00244CF8"/>
    <w:rsid w:val="00244EE3"/>
    <w:rsid w:val="00244F05"/>
    <w:rsid w:val="0024528F"/>
    <w:rsid w:val="00245328"/>
    <w:rsid w:val="002455B5"/>
    <w:rsid w:val="0024565D"/>
    <w:rsid w:val="00245674"/>
    <w:rsid w:val="00245A65"/>
    <w:rsid w:val="00245AA4"/>
    <w:rsid w:val="00245C07"/>
    <w:rsid w:val="00245CBE"/>
    <w:rsid w:val="00245DA4"/>
    <w:rsid w:val="00245E6A"/>
    <w:rsid w:val="00245ED5"/>
    <w:rsid w:val="00245F79"/>
    <w:rsid w:val="00245FFB"/>
    <w:rsid w:val="00246199"/>
    <w:rsid w:val="0024657D"/>
    <w:rsid w:val="002465F1"/>
    <w:rsid w:val="002465FF"/>
    <w:rsid w:val="002468D7"/>
    <w:rsid w:val="00246965"/>
    <w:rsid w:val="00247254"/>
    <w:rsid w:val="002472D1"/>
    <w:rsid w:val="002472DF"/>
    <w:rsid w:val="002473A5"/>
    <w:rsid w:val="0024771D"/>
    <w:rsid w:val="00247775"/>
    <w:rsid w:val="00247779"/>
    <w:rsid w:val="00247A47"/>
    <w:rsid w:val="00247B18"/>
    <w:rsid w:val="00247D76"/>
    <w:rsid w:val="00247DB4"/>
    <w:rsid w:val="00247E28"/>
    <w:rsid w:val="00247EB3"/>
    <w:rsid w:val="00247F45"/>
    <w:rsid w:val="0025016D"/>
    <w:rsid w:val="002504CF"/>
    <w:rsid w:val="002505F2"/>
    <w:rsid w:val="0025065D"/>
    <w:rsid w:val="002506CE"/>
    <w:rsid w:val="00250736"/>
    <w:rsid w:val="002507D4"/>
    <w:rsid w:val="002509ED"/>
    <w:rsid w:val="00250A39"/>
    <w:rsid w:val="00250D1D"/>
    <w:rsid w:val="00250D96"/>
    <w:rsid w:val="00250E02"/>
    <w:rsid w:val="00250E54"/>
    <w:rsid w:val="002512D0"/>
    <w:rsid w:val="002514F4"/>
    <w:rsid w:val="00251591"/>
    <w:rsid w:val="002518CE"/>
    <w:rsid w:val="00251947"/>
    <w:rsid w:val="00251B44"/>
    <w:rsid w:val="00251BBF"/>
    <w:rsid w:val="00251E69"/>
    <w:rsid w:val="00251F8C"/>
    <w:rsid w:val="002520BC"/>
    <w:rsid w:val="002520F6"/>
    <w:rsid w:val="002521B4"/>
    <w:rsid w:val="002521E0"/>
    <w:rsid w:val="002525DA"/>
    <w:rsid w:val="00252695"/>
    <w:rsid w:val="002527AA"/>
    <w:rsid w:val="00252839"/>
    <w:rsid w:val="00252883"/>
    <w:rsid w:val="0025288F"/>
    <w:rsid w:val="002529C1"/>
    <w:rsid w:val="00252A13"/>
    <w:rsid w:val="00252A2B"/>
    <w:rsid w:val="00252C76"/>
    <w:rsid w:val="00252C7B"/>
    <w:rsid w:val="00252EE9"/>
    <w:rsid w:val="0025302A"/>
    <w:rsid w:val="0025314B"/>
    <w:rsid w:val="0025361E"/>
    <w:rsid w:val="002536A2"/>
    <w:rsid w:val="0025376A"/>
    <w:rsid w:val="00253949"/>
    <w:rsid w:val="002539D5"/>
    <w:rsid w:val="002539DB"/>
    <w:rsid w:val="00253B13"/>
    <w:rsid w:val="00253B1B"/>
    <w:rsid w:val="00253E67"/>
    <w:rsid w:val="00253EC9"/>
    <w:rsid w:val="0025401B"/>
    <w:rsid w:val="002540EB"/>
    <w:rsid w:val="0025418C"/>
    <w:rsid w:val="00254565"/>
    <w:rsid w:val="00254594"/>
    <w:rsid w:val="0025485C"/>
    <w:rsid w:val="002549B7"/>
    <w:rsid w:val="00254A9D"/>
    <w:rsid w:val="00254B5C"/>
    <w:rsid w:val="00254C3D"/>
    <w:rsid w:val="00254F28"/>
    <w:rsid w:val="00254FEC"/>
    <w:rsid w:val="00255284"/>
    <w:rsid w:val="00255295"/>
    <w:rsid w:val="00255394"/>
    <w:rsid w:val="00255458"/>
    <w:rsid w:val="0025565C"/>
    <w:rsid w:val="00255739"/>
    <w:rsid w:val="00255C34"/>
    <w:rsid w:val="00255E8D"/>
    <w:rsid w:val="00256026"/>
    <w:rsid w:val="0025605E"/>
    <w:rsid w:val="00256109"/>
    <w:rsid w:val="00256181"/>
    <w:rsid w:val="002565C6"/>
    <w:rsid w:val="00256836"/>
    <w:rsid w:val="00256A38"/>
    <w:rsid w:val="00256B97"/>
    <w:rsid w:val="00256F3B"/>
    <w:rsid w:val="002570BF"/>
    <w:rsid w:val="0025714B"/>
    <w:rsid w:val="002575D6"/>
    <w:rsid w:val="002576A4"/>
    <w:rsid w:val="00257839"/>
    <w:rsid w:val="002579F8"/>
    <w:rsid w:val="00257B19"/>
    <w:rsid w:val="00257CED"/>
    <w:rsid w:val="00257E1D"/>
    <w:rsid w:val="00257ED6"/>
    <w:rsid w:val="00257EE5"/>
    <w:rsid w:val="00257EEA"/>
    <w:rsid w:val="00257FEE"/>
    <w:rsid w:val="002600BB"/>
    <w:rsid w:val="002600D8"/>
    <w:rsid w:val="002600DF"/>
    <w:rsid w:val="002600E1"/>
    <w:rsid w:val="0026027F"/>
    <w:rsid w:val="00260299"/>
    <w:rsid w:val="002604D1"/>
    <w:rsid w:val="00260547"/>
    <w:rsid w:val="00260719"/>
    <w:rsid w:val="002607EC"/>
    <w:rsid w:val="002607F3"/>
    <w:rsid w:val="0026091D"/>
    <w:rsid w:val="00260D69"/>
    <w:rsid w:val="00260F68"/>
    <w:rsid w:val="00260FCF"/>
    <w:rsid w:val="00261133"/>
    <w:rsid w:val="00261416"/>
    <w:rsid w:val="00261559"/>
    <w:rsid w:val="00261736"/>
    <w:rsid w:val="00261C28"/>
    <w:rsid w:val="00261C49"/>
    <w:rsid w:val="00261C66"/>
    <w:rsid w:val="00261CAA"/>
    <w:rsid w:val="00261D84"/>
    <w:rsid w:val="00261DA1"/>
    <w:rsid w:val="00261F1D"/>
    <w:rsid w:val="00262083"/>
    <w:rsid w:val="00262177"/>
    <w:rsid w:val="00262340"/>
    <w:rsid w:val="002623A8"/>
    <w:rsid w:val="00262444"/>
    <w:rsid w:val="0026269E"/>
    <w:rsid w:val="002626F7"/>
    <w:rsid w:val="00262719"/>
    <w:rsid w:val="00262774"/>
    <w:rsid w:val="002627A6"/>
    <w:rsid w:val="00262818"/>
    <w:rsid w:val="00262860"/>
    <w:rsid w:val="002629B7"/>
    <w:rsid w:val="00262A98"/>
    <w:rsid w:val="00262AAC"/>
    <w:rsid w:val="00262AF4"/>
    <w:rsid w:val="00262C7A"/>
    <w:rsid w:val="00262CBE"/>
    <w:rsid w:val="00262D02"/>
    <w:rsid w:val="00262DAC"/>
    <w:rsid w:val="00262DCD"/>
    <w:rsid w:val="00262DF4"/>
    <w:rsid w:val="0026316D"/>
    <w:rsid w:val="002631FD"/>
    <w:rsid w:val="00263203"/>
    <w:rsid w:val="002632CD"/>
    <w:rsid w:val="00263301"/>
    <w:rsid w:val="002633AA"/>
    <w:rsid w:val="002634B8"/>
    <w:rsid w:val="002636FE"/>
    <w:rsid w:val="0026396A"/>
    <w:rsid w:val="002639BB"/>
    <w:rsid w:val="00263BF6"/>
    <w:rsid w:val="00263D46"/>
    <w:rsid w:val="00264262"/>
    <w:rsid w:val="00264385"/>
    <w:rsid w:val="00264696"/>
    <w:rsid w:val="002646B4"/>
    <w:rsid w:val="00264A8A"/>
    <w:rsid w:val="00264AEE"/>
    <w:rsid w:val="00264CBB"/>
    <w:rsid w:val="00264D83"/>
    <w:rsid w:val="00264DDF"/>
    <w:rsid w:val="002650EC"/>
    <w:rsid w:val="00265164"/>
    <w:rsid w:val="00265173"/>
    <w:rsid w:val="00265BC5"/>
    <w:rsid w:val="00265BCE"/>
    <w:rsid w:val="00265C62"/>
    <w:rsid w:val="00265DF4"/>
    <w:rsid w:val="00265EBC"/>
    <w:rsid w:val="00265FF2"/>
    <w:rsid w:val="00266455"/>
    <w:rsid w:val="0026650D"/>
    <w:rsid w:val="00266526"/>
    <w:rsid w:val="00266708"/>
    <w:rsid w:val="002667BC"/>
    <w:rsid w:val="002667E7"/>
    <w:rsid w:val="002668CD"/>
    <w:rsid w:val="00266970"/>
    <w:rsid w:val="002669ED"/>
    <w:rsid w:val="00266A3F"/>
    <w:rsid w:val="00266B4A"/>
    <w:rsid w:val="00267578"/>
    <w:rsid w:val="0026759A"/>
    <w:rsid w:val="002675CC"/>
    <w:rsid w:val="002678C5"/>
    <w:rsid w:val="00267913"/>
    <w:rsid w:val="002679F0"/>
    <w:rsid w:val="00267CEC"/>
    <w:rsid w:val="00270471"/>
    <w:rsid w:val="00270552"/>
    <w:rsid w:val="00270575"/>
    <w:rsid w:val="002705DC"/>
    <w:rsid w:val="00270CAC"/>
    <w:rsid w:val="00270D75"/>
    <w:rsid w:val="00270EE2"/>
    <w:rsid w:val="0027116D"/>
    <w:rsid w:val="002711B6"/>
    <w:rsid w:val="0027141F"/>
    <w:rsid w:val="002714AE"/>
    <w:rsid w:val="00271578"/>
    <w:rsid w:val="002716A6"/>
    <w:rsid w:val="002718CE"/>
    <w:rsid w:val="0027190C"/>
    <w:rsid w:val="00271BA6"/>
    <w:rsid w:val="00271C0F"/>
    <w:rsid w:val="00271E81"/>
    <w:rsid w:val="0027224B"/>
    <w:rsid w:val="00272354"/>
    <w:rsid w:val="002723C3"/>
    <w:rsid w:val="002725D2"/>
    <w:rsid w:val="002726B7"/>
    <w:rsid w:val="00272746"/>
    <w:rsid w:val="002727C9"/>
    <w:rsid w:val="002729BE"/>
    <w:rsid w:val="00272B46"/>
    <w:rsid w:val="00272C14"/>
    <w:rsid w:val="00272D5F"/>
    <w:rsid w:val="00272D92"/>
    <w:rsid w:val="002731F8"/>
    <w:rsid w:val="002733E0"/>
    <w:rsid w:val="002734EC"/>
    <w:rsid w:val="00273673"/>
    <w:rsid w:val="002736EF"/>
    <w:rsid w:val="0027376A"/>
    <w:rsid w:val="00273F6A"/>
    <w:rsid w:val="002740AA"/>
    <w:rsid w:val="002742D9"/>
    <w:rsid w:val="00274438"/>
    <w:rsid w:val="00274AA1"/>
    <w:rsid w:val="00274B8E"/>
    <w:rsid w:val="00274D48"/>
    <w:rsid w:val="00274FA0"/>
    <w:rsid w:val="00275081"/>
    <w:rsid w:val="00275207"/>
    <w:rsid w:val="00275257"/>
    <w:rsid w:val="002752DC"/>
    <w:rsid w:val="0027577A"/>
    <w:rsid w:val="002758AF"/>
    <w:rsid w:val="002758BC"/>
    <w:rsid w:val="00275A3B"/>
    <w:rsid w:val="00275B41"/>
    <w:rsid w:val="00275B9A"/>
    <w:rsid w:val="00275E6E"/>
    <w:rsid w:val="0027626D"/>
    <w:rsid w:val="00276482"/>
    <w:rsid w:val="00276772"/>
    <w:rsid w:val="00276845"/>
    <w:rsid w:val="00276A41"/>
    <w:rsid w:val="00276BB9"/>
    <w:rsid w:val="00276D23"/>
    <w:rsid w:val="00276D2F"/>
    <w:rsid w:val="00276EF4"/>
    <w:rsid w:val="00277198"/>
    <w:rsid w:val="002771EF"/>
    <w:rsid w:val="00277276"/>
    <w:rsid w:val="0027739A"/>
    <w:rsid w:val="002773ED"/>
    <w:rsid w:val="002775BC"/>
    <w:rsid w:val="002775BF"/>
    <w:rsid w:val="002775D8"/>
    <w:rsid w:val="002778C9"/>
    <w:rsid w:val="00277BB1"/>
    <w:rsid w:val="00277F3A"/>
    <w:rsid w:val="00280057"/>
    <w:rsid w:val="002802DF"/>
    <w:rsid w:val="002803A0"/>
    <w:rsid w:val="00280513"/>
    <w:rsid w:val="0028052E"/>
    <w:rsid w:val="00280788"/>
    <w:rsid w:val="002807EB"/>
    <w:rsid w:val="002809E1"/>
    <w:rsid w:val="00280A46"/>
    <w:rsid w:val="00280BD3"/>
    <w:rsid w:val="00280C7E"/>
    <w:rsid w:val="00280EDA"/>
    <w:rsid w:val="00280EE2"/>
    <w:rsid w:val="00280FB1"/>
    <w:rsid w:val="00281144"/>
    <w:rsid w:val="002812E5"/>
    <w:rsid w:val="0028155D"/>
    <w:rsid w:val="0028170B"/>
    <w:rsid w:val="002817D9"/>
    <w:rsid w:val="00281D8C"/>
    <w:rsid w:val="00281F2A"/>
    <w:rsid w:val="00281F71"/>
    <w:rsid w:val="00281FD3"/>
    <w:rsid w:val="00281FEA"/>
    <w:rsid w:val="002820FA"/>
    <w:rsid w:val="00282253"/>
    <w:rsid w:val="0028238C"/>
    <w:rsid w:val="00282700"/>
    <w:rsid w:val="0028271A"/>
    <w:rsid w:val="0028271F"/>
    <w:rsid w:val="002828A6"/>
    <w:rsid w:val="00282C23"/>
    <w:rsid w:val="00282DF9"/>
    <w:rsid w:val="00282E81"/>
    <w:rsid w:val="00283339"/>
    <w:rsid w:val="00283461"/>
    <w:rsid w:val="002834C8"/>
    <w:rsid w:val="0028365A"/>
    <w:rsid w:val="002836B7"/>
    <w:rsid w:val="00283D05"/>
    <w:rsid w:val="0028413D"/>
    <w:rsid w:val="002841E5"/>
    <w:rsid w:val="00284240"/>
    <w:rsid w:val="002843B8"/>
    <w:rsid w:val="00284518"/>
    <w:rsid w:val="0028485F"/>
    <w:rsid w:val="002848F6"/>
    <w:rsid w:val="00284BCA"/>
    <w:rsid w:val="00284FB0"/>
    <w:rsid w:val="0028508D"/>
    <w:rsid w:val="0028510D"/>
    <w:rsid w:val="00285282"/>
    <w:rsid w:val="00285337"/>
    <w:rsid w:val="002856B0"/>
    <w:rsid w:val="002857FA"/>
    <w:rsid w:val="0028584B"/>
    <w:rsid w:val="002858CD"/>
    <w:rsid w:val="00285A99"/>
    <w:rsid w:val="00285C75"/>
    <w:rsid w:val="00285CEF"/>
    <w:rsid w:val="00286187"/>
    <w:rsid w:val="00286386"/>
    <w:rsid w:val="002863A0"/>
    <w:rsid w:val="0028645C"/>
    <w:rsid w:val="002865A5"/>
    <w:rsid w:val="0028665E"/>
    <w:rsid w:val="00286773"/>
    <w:rsid w:val="00286A22"/>
    <w:rsid w:val="00286B0B"/>
    <w:rsid w:val="00286C2B"/>
    <w:rsid w:val="00286C6E"/>
    <w:rsid w:val="0028719E"/>
    <w:rsid w:val="00287342"/>
    <w:rsid w:val="002873A5"/>
    <w:rsid w:val="002876F3"/>
    <w:rsid w:val="0028770F"/>
    <w:rsid w:val="0028776D"/>
    <w:rsid w:val="00287897"/>
    <w:rsid w:val="002878DC"/>
    <w:rsid w:val="00287A88"/>
    <w:rsid w:val="00287AC8"/>
    <w:rsid w:val="00287D78"/>
    <w:rsid w:val="00287FFE"/>
    <w:rsid w:val="0029010F"/>
    <w:rsid w:val="00290267"/>
    <w:rsid w:val="002904E2"/>
    <w:rsid w:val="0029053D"/>
    <w:rsid w:val="00290764"/>
    <w:rsid w:val="00290827"/>
    <w:rsid w:val="0029091B"/>
    <w:rsid w:val="00290B5A"/>
    <w:rsid w:val="00290B8E"/>
    <w:rsid w:val="00290B8F"/>
    <w:rsid w:val="00290BD4"/>
    <w:rsid w:val="00290CA3"/>
    <w:rsid w:val="00290D23"/>
    <w:rsid w:val="00290E46"/>
    <w:rsid w:val="00290EFC"/>
    <w:rsid w:val="002911F1"/>
    <w:rsid w:val="002912A0"/>
    <w:rsid w:val="002916F0"/>
    <w:rsid w:val="002919FF"/>
    <w:rsid w:val="00291A4A"/>
    <w:rsid w:val="00291B03"/>
    <w:rsid w:val="00291C1B"/>
    <w:rsid w:val="00291CA3"/>
    <w:rsid w:val="00291CE2"/>
    <w:rsid w:val="00291D9F"/>
    <w:rsid w:val="00291DD1"/>
    <w:rsid w:val="00291EDE"/>
    <w:rsid w:val="00291F7E"/>
    <w:rsid w:val="00292566"/>
    <w:rsid w:val="00292B9D"/>
    <w:rsid w:val="00292EC2"/>
    <w:rsid w:val="002930F4"/>
    <w:rsid w:val="0029343E"/>
    <w:rsid w:val="002935F6"/>
    <w:rsid w:val="002937D2"/>
    <w:rsid w:val="00293906"/>
    <w:rsid w:val="00293980"/>
    <w:rsid w:val="00293A47"/>
    <w:rsid w:val="00293BE1"/>
    <w:rsid w:val="00293C31"/>
    <w:rsid w:val="00293C3B"/>
    <w:rsid w:val="00293CB4"/>
    <w:rsid w:val="00293CE1"/>
    <w:rsid w:val="00293E61"/>
    <w:rsid w:val="002944A4"/>
    <w:rsid w:val="00294675"/>
    <w:rsid w:val="0029483E"/>
    <w:rsid w:val="00294E0D"/>
    <w:rsid w:val="00295076"/>
    <w:rsid w:val="002951B5"/>
    <w:rsid w:val="00295342"/>
    <w:rsid w:val="002954A0"/>
    <w:rsid w:val="0029550C"/>
    <w:rsid w:val="0029584F"/>
    <w:rsid w:val="00295916"/>
    <w:rsid w:val="0029596E"/>
    <w:rsid w:val="00295CA1"/>
    <w:rsid w:val="00295D11"/>
    <w:rsid w:val="00295D4E"/>
    <w:rsid w:val="00295D93"/>
    <w:rsid w:val="00295DB3"/>
    <w:rsid w:val="00296BAE"/>
    <w:rsid w:val="00296D94"/>
    <w:rsid w:val="00296DCD"/>
    <w:rsid w:val="0029725F"/>
    <w:rsid w:val="0029781F"/>
    <w:rsid w:val="00297841"/>
    <w:rsid w:val="002978C0"/>
    <w:rsid w:val="00297A58"/>
    <w:rsid w:val="00297BC2"/>
    <w:rsid w:val="00297C77"/>
    <w:rsid w:val="00297C97"/>
    <w:rsid w:val="00297E78"/>
    <w:rsid w:val="00297E9E"/>
    <w:rsid w:val="00297EB7"/>
    <w:rsid w:val="00297EF9"/>
    <w:rsid w:val="00297F6B"/>
    <w:rsid w:val="002A010F"/>
    <w:rsid w:val="002A0186"/>
    <w:rsid w:val="002A0327"/>
    <w:rsid w:val="002A0735"/>
    <w:rsid w:val="002A092E"/>
    <w:rsid w:val="002A0AC2"/>
    <w:rsid w:val="002A0CF1"/>
    <w:rsid w:val="002A0EAF"/>
    <w:rsid w:val="002A0EC8"/>
    <w:rsid w:val="002A0F64"/>
    <w:rsid w:val="002A11A9"/>
    <w:rsid w:val="002A16A2"/>
    <w:rsid w:val="002A19A9"/>
    <w:rsid w:val="002A1CA9"/>
    <w:rsid w:val="002A200A"/>
    <w:rsid w:val="002A2060"/>
    <w:rsid w:val="002A2E78"/>
    <w:rsid w:val="002A2FEE"/>
    <w:rsid w:val="002A3149"/>
    <w:rsid w:val="002A324C"/>
    <w:rsid w:val="002A32CC"/>
    <w:rsid w:val="002A3368"/>
    <w:rsid w:val="002A33C8"/>
    <w:rsid w:val="002A33F7"/>
    <w:rsid w:val="002A3546"/>
    <w:rsid w:val="002A37A5"/>
    <w:rsid w:val="002A383E"/>
    <w:rsid w:val="002A3907"/>
    <w:rsid w:val="002A39E2"/>
    <w:rsid w:val="002A3B0D"/>
    <w:rsid w:val="002A3B35"/>
    <w:rsid w:val="002A3B84"/>
    <w:rsid w:val="002A3CFE"/>
    <w:rsid w:val="002A3E6C"/>
    <w:rsid w:val="002A3EA5"/>
    <w:rsid w:val="002A3EAA"/>
    <w:rsid w:val="002A3F62"/>
    <w:rsid w:val="002A3FA3"/>
    <w:rsid w:val="002A4257"/>
    <w:rsid w:val="002A4472"/>
    <w:rsid w:val="002A44CD"/>
    <w:rsid w:val="002A4BD6"/>
    <w:rsid w:val="002A4F2D"/>
    <w:rsid w:val="002A4F88"/>
    <w:rsid w:val="002A5154"/>
    <w:rsid w:val="002A5166"/>
    <w:rsid w:val="002A53C8"/>
    <w:rsid w:val="002A53CC"/>
    <w:rsid w:val="002A53EE"/>
    <w:rsid w:val="002A56A3"/>
    <w:rsid w:val="002A5B94"/>
    <w:rsid w:val="002A5CEE"/>
    <w:rsid w:val="002A5E4D"/>
    <w:rsid w:val="002A5EE6"/>
    <w:rsid w:val="002A60D8"/>
    <w:rsid w:val="002A6130"/>
    <w:rsid w:val="002A61A6"/>
    <w:rsid w:val="002A6205"/>
    <w:rsid w:val="002A6491"/>
    <w:rsid w:val="002A6603"/>
    <w:rsid w:val="002A661C"/>
    <w:rsid w:val="002A6719"/>
    <w:rsid w:val="002A68C9"/>
    <w:rsid w:val="002A68F5"/>
    <w:rsid w:val="002A6A67"/>
    <w:rsid w:val="002A6AB7"/>
    <w:rsid w:val="002A6AE9"/>
    <w:rsid w:val="002A6C6A"/>
    <w:rsid w:val="002A6F04"/>
    <w:rsid w:val="002A6F2C"/>
    <w:rsid w:val="002A717E"/>
    <w:rsid w:val="002A74E3"/>
    <w:rsid w:val="002A74F6"/>
    <w:rsid w:val="002A763A"/>
    <w:rsid w:val="002A7652"/>
    <w:rsid w:val="002A768C"/>
    <w:rsid w:val="002A7775"/>
    <w:rsid w:val="002A7919"/>
    <w:rsid w:val="002A792F"/>
    <w:rsid w:val="002A7A5A"/>
    <w:rsid w:val="002B0078"/>
    <w:rsid w:val="002B00BB"/>
    <w:rsid w:val="002B01FB"/>
    <w:rsid w:val="002B02B3"/>
    <w:rsid w:val="002B0434"/>
    <w:rsid w:val="002B0461"/>
    <w:rsid w:val="002B04DE"/>
    <w:rsid w:val="002B0527"/>
    <w:rsid w:val="002B0776"/>
    <w:rsid w:val="002B07E6"/>
    <w:rsid w:val="002B0818"/>
    <w:rsid w:val="002B083A"/>
    <w:rsid w:val="002B085E"/>
    <w:rsid w:val="002B0E34"/>
    <w:rsid w:val="002B0E4B"/>
    <w:rsid w:val="002B0E6A"/>
    <w:rsid w:val="002B0F15"/>
    <w:rsid w:val="002B1049"/>
    <w:rsid w:val="002B105C"/>
    <w:rsid w:val="002B1142"/>
    <w:rsid w:val="002B1282"/>
    <w:rsid w:val="002B152E"/>
    <w:rsid w:val="002B15C6"/>
    <w:rsid w:val="002B18B4"/>
    <w:rsid w:val="002B193D"/>
    <w:rsid w:val="002B1D41"/>
    <w:rsid w:val="002B1E3F"/>
    <w:rsid w:val="002B1EAA"/>
    <w:rsid w:val="002B1F1C"/>
    <w:rsid w:val="002B1FF1"/>
    <w:rsid w:val="002B209A"/>
    <w:rsid w:val="002B23B5"/>
    <w:rsid w:val="002B247B"/>
    <w:rsid w:val="002B24C3"/>
    <w:rsid w:val="002B25ED"/>
    <w:rsid w:val="002B2663"/>
    <w:rsid w:val="002B2A3C"/>
    <w:rsid w:val="002B2CEA"/>
    <w:rsid w:val="002B302F"/>
    <w:rsid w:val="002B3569"/>
    <w:rsid w:val="002B35A6"/>
    <w:rsid w:val="002B3641"/>
    <w:rsid w:val="002B36B6"/>
    <w:rsid w:val="002B3A53"/>
    <w:rsid w:val="002B3B4A"/>
    <w:rsid w:val="002B3F44"/>
    <w:rsid w:val="002B41F5"/>
    <w:rsid w:val="002B4232"/>
    <w:rsid w:val="002B43A8"/>
    <w:rsid w:val="002B440A"/>
    <w:rsid w:val="002B4551"/>
    <w:rsid w:val="002B45E7"/>
    <w:rsid w:val="002B4837"/>
    <w:rsid w:val="002B4902"/>
    <w:rsid w:val="002B4A42"/>
    <w:rsid w:val="002B4A77"/>
    <w:rsid w:val="002B4BC0"/>
    <w:rsid w:val="002B4C4E"/>
    <w:rsid w:val="002B4E87"/>
    <w:rsid w:val="002B5099"/>
    <w:rsid w:val="002B513F"/>
    <w:rsid w:val="002B54C4"/>
    <w:rsid w:val="002B5524"/>
    <w:rsid w:val="002B5688"/>
    <w:rsid w:val="002B5888"/>
    <w:rsid w:val="002B5919"/>
    <w:rsid w:val="002B5996"/>
    <w:rsid w:val="002B59DD"/>
    <w:rsid w:val="002B5A57"/>
    <w:rsid w:val="002B5BDC"/>
    <w:rsid w:val="002B5BF8"/>
    <w:rsid w:val="002B5D0E"/>
    <w:rsid w:val="002B6631"/>
    <w:rsid w:val="002B6829"/>
    <w:rsid w:val="002B6B57"/>
    <w:rsid w:val="002B6C65"/>
    <w:rsid w:val="002B6D85"/>
    <w:rsid w:val="002B6DC2"/>
    <w:rsid w:val="002B6FCD"/>
    <w:rsid w:val="002B70D5"/>
    <w:rsid w:val="002B7201"/>
    <w:rsid w:val="002B7218"/>
    <w:rsid w:val="002B73A4"/>
    <w:rsid w:val="002B7497"/>
    <w:rsid w:val="002B75DE"/>
    <w:rsid w:val="002B7743"/>
    <w:rsid w:val="002B7829"/>
    <w:rsid w:val="002B78E9"/>
    <w:rsid w:val="002B78F2"/>
    <w:rsid w:val="002B7CCD"/>
    <w:rsid w:val="002B7D67"/>
    <w:rsid w:val="002B7D74"/>
    <w:rsid w:val="002B7F5D"/>
    <w:rsid w:val="002B7F62"/>
    <w:rsid w:val="002C014E"/>
    <w:rsid w:val="002C015F"/>
    <w:rsid w:val="002C01DC"/>
    <w:rsid w:val="002C047C"/>
    <w:rsid w:val="002C04B8"/>
    <w:rsid w:val="002C0831"/>
    <w:rsid w:val="002C0871"/>
    <w:rsid w:val="002C09D9"/>
    <w:rsid w:val="002C0A7C"/>
    <w:rsid w:val="002C0F8F"/>
    <w:rsid w:val="002C1177"/>
    <w:rsid w:val="002C119F"/>
    <w:rsid w:val="002C1632"/>
    <w:rsid w:val="002C1993"/>
    <w:rsid w:val="002C1C82"/>
    <w:rsid w:val="002C1C9A"/>
    <w:rsid w:val="002C1CC7"/>
    <w:rsid w:val="002C21A6"/>
    <w:rsid w:val="002C27AB"/>
    <w:rsid w:val="002C27F3"/>
    <w:rsid w:val="002C2883"/>
    <w:rsid w:val="002C2ABE"/>
    <w:rsid w:val="002C2B77"/>
    <w:rsid w:val="002C312A"/>
    <w:rsid w:val="002C314B"/>
    <w:rsid w:val="002C3524"/>
    <w:rsid w:val="002C3550"/>
    <w:rsid w:val="002C35A8"/>
    <w:rsid w:val="002C36C2"/>
    <w:rsid w:val="002C3712"/>
    <w:rsid w:val="002C3BA1"/>
    <w:rsid w:val="002C3BD5"/>
    <w:rsid w:val="002C405B"/>
    <w:rsid w:val="002C4193"/>
    <w:rsid w:val="002C41D7"/>
    <w:rsid w:val="002C42F8"/>
    <w:rsid w:val="002C45BF"/>
    <w:rsid w:val="002C4939"/>
    <w:rsid w:val="002C4974"/>
    <w:rsid w:val="002C49BC"/>
    <w:rsid w:val="002C4C49"/>
    <w:rsid w:val="002C4CC8"/>
    <w:rsid w:val="002C5364"/>
    <w:rsid w:val="002C549B"/>
    <w:rsid w:val="002C5501"/>
    <w:rsid w:val="002C5642"/>
    <w:rsid w:val="002C56C7"/>
    <w:rsid w:val="002C5827"/>
    <w:rsid w:val="002C5C22"/>
    <w:rsid w:val="002C5CB7"/>
    <w:rsid w:val="002C5CF2"/>
    <w:rsid w:val="002C5CFD"/>
    <w:rsid w:val="002C5D34"/>
    <w:rsid w:val="002C5D61"/>
    <w:rsid w:val="002C5E70"/>
    <w:rsid w:val="002C618D"/>
    <w:rsid w:val="002C6247"/>
    <w:rsid w:val="002C655E"/>
    <w:rsid w:val="002C6826"/>
    <w:rsid w:val="002C6863"/>
    <w:rsid w:val="002C68E5"/>
    <w:rsid w:val="002C6A08"/>
    <w:rsid w:val="002C6A10"/>
    <w:rsid w:val="002C7078"/>
    <w:rsid w:val="002C71AC"/>
    <w:rsid w:val="002C73AB"/>
    <w:rsid w:val="002C74B8"/>
    <w:rsid w:val="002C74EB"/>
    <w:rsid w:val="002C759A"/>
    <w:rsid w:val="002C766E"/>
    <w:rsid w:val="002C7712"/>
    <w:rsid w:val="002C7756"/>
    <w:rsid w:val="002C776E"/>
    <w:rsid w:val="002C7824"/>
    <w:rsid w:val="002C7831"/>
    <w:rsid w:val="002C792B"/>
    <w:rsid w:val="002C7938"/>
    <w:rsid w:val="002C7BBE"/>
    <w:rsid w:val="002C7D1B"/>
    <w:rsid w:val="002C7D2B"/>
    <w:rsid w:val="002C7E30"/>
    <w:rsid w:val="002C7F43"/>
    <w:rsid w:val="002D009D"/>
    <w:rsid w:val="002D00B7"/>
    <w:rsid w:val="002D014F"/>
    <w:rsid w:val="002D0250"/>
    <w:rsid w:val="002D02FD"/>
    <w:rsid w:val="002D050E"/>
    <w:rsid w:val="002D0632"/>
    <w:rsid w:val="002D0681"/>
    <w:rsid w:val="002D06FC"/>
    <w:rsid w:val="002D07EC"/>
    <w:rsid w:val="002D0868"/>
    <w:rsid w:val="002D093B"/>
    <w:rsid w:val="002D0C0C"/>
    <w:rsid w:val="002D0C2C"/>
    <w:rsid w:val="002D0C3C"/>
    <w:rsid w:val="002D0CAB"/>
    <w:rsid w:val="002D0CCE"/>
    <w:rsid w:val="002D1328"/>
    <w:rsid w:val="002D1447"/>
    <w:rsid w:val="002D15DC"/>
    <w:rsid w:val="002D16F2"/>
    <w:rsid w:val="002D1883"/>
    <w:rsid w:val="002D18CA"/>
    <w:rsid w:val="002D1912"/>
    <w:rsid w:val="002D1A95"/>
    <w:rsid w:val="002D1A96"/>
    <w:rsid w:val="002D1AED"/>
    <w:rsid w:val="002D1CD0"/>
    <w:rsid w:val="002D1DA9"/>
    <w:rsid w:val="002D2352"/>
    <w:rsid w:val="002D23F6"/>
    <w:rsid w:val="002D2420"/>
    <w:rsid w:val="002D247B"/>
    <w:rsid w:val="002D2596"/>
    <w:rsid w:val="002D269B"/>
    <w:rsid w:val="002D285C"/>
    <w:rsid w:val="002D2A53"/>
    <w:rsid w:val="002D359A"/>
    <w:rsid w:val="002D3619"/>
    <w:rsid w:val="002D362C"/>
    <w:rsid w:val="002D365D"/>
    <w:rsid w:val="002D3707"/>
    <w:rsid w:val="002D37EB"/>
    <w:rsid w:val="002D3858"/>
    <w:rsid w:val="002D397C"/>
    <w:rsid w:val="002D3A4B"/>
    <w:rsid w:val="002D3A93"/>
    <w:rsid w:val="002D3B92"/>
    <w:rsid w:val="002D3C67"/>
    <w:rsid w:val="002D3CBE"/>
    <w:rsid w:val="002D3CF0"/>
    <w:rsid w:val="002D3DBA"/>
    <w:rsid w:val="002D3F45"/>
    <w:rsid w:val="002D3F95"/>
    <w:rsid w:val="002D4137"/>
    <w:rsid w:val="002D4607"/>
    <w:rsid w:val="002D4654"/>
    <w:rsid w:val="002D46E9"/>
    <w:rsid w:val="002D47D6"/>
    <w:rsid w:val="002D4917"/>
    <w:rsid w:val="002D4AB0"/>
    <w:rsid w:val="002D4E90"/>
    <w:rsid w:val="002D4F1B"/>
    <w:rsid w:val="002D4FF4"/>
    <w:rsid w:val="002D50B2"/>
    <w:rsid w:val="002D50CB"/>
    <w:rsid w:val="002D54EB"/>
    <w:rsid w:val="002D5589"/>
    <w:rsid w:val="002D55B9"/>
    <w:rsid w:val="002D5688"/>
    <w:rsid w:val="002D57D2"/>
    <w:rsid w:val="002D5818"/>
    <w:rsid w:val="002D595A"/>
    <w:rsid w:val="002D5C57"/>
    <w:rsid w:val="002D5C5F"/>
    <w:rsid w:val="002D5E40"/>
    <w:rsid w:val="002D6038"/>
    <w:rsid w:val="002D6154"/>
    <w:rsid w:val="002D62D3"/>
    <w:rsid w:val="002D64B9"/>
    <w:rsid w:val="002D6831"/>
    <w:rsid w:val="002D6866"/>
    <w:rsid w:val="002D6A29"/>
    <w:rsid w:val="002D6AE7"/>
    <w:rsid w:val="002D6B7A"/>
    <w:rsid w:val="002D6B91"/>
    <w:rsid w:val="002D6C1B"/>
    <w:rsid w:val="002D6C73"/>
    <w:rsid w:val="002D6D49"/>
    <w:rsid w:val="002D6D76"/>
    <w:rsid w:val="002D6E8B"/>
    <w:rsid w:val="002D754F"/>
    <w:rsid w:val="002D7597"/>
    <w:rsid w:val="002D75AC"/>
    <w:rsid w:val="002D75E6"/>
    <w:rsid w:val="002D788F"/>
    <w:rsid w:val="002D7A29"/>
    <w:rsid w:val="002D7DD5"/>
    <w:rsid w:val="002D7EAD"/>
    <w:rsid w:val="002D7F36"/>
    <w:rsid w:val="002E04BC"/>
    <w:rsid w:val="002E0655"/>
    <w:rsid w:val="002E06D9"/>
    <w:rsid w:val="002E09EF"/>
    <w:rsid w:val="002E0A58"/>
    <w:rsid w:val="002E0B0B"/>
    <w:rsid w:val="002E0B92"/>
    <w:rsid w:val="002E0C2B"/>
    <w:rsid w:val="002E0C77"/>
    <w:rsid w:val="002E0D45"/>
    <w:rsid w:val="002E0DCC"/>
    <w:rsid w:val="002E0F7F"/>
    <w:rsid w:val="002E0FD9"/>
    <w:rsid w:val="002E11A4"/>
    <w:rsid w:val="002E11EF"/>
    <w:rsid w:val="002E137F"/>
    <w:rsid w:val="002E13A9"/>
    <w:rsid w:val="002E1617"/>
    <w:rsid w:val="002E188F"/>
    <w:rsid w:val="002E1AE5"/>
    <w:rsid w:val="002E1B6C"/>
    <w:rsid w:val="002E2008"/>
    <w:rsid w:val="002E24D5"/>
    <w:rsid w:val="002E2556"/>
    <w:rsid w:val="002E2692"/>
    <w:rsid w:val="002E26F5"/>
    <w:rsid w:val="002E2706"/>
    <w:rsid w:val="002E2850"/>
    <w:rsid w:val="002E28DF"/>
    <w:rsid w:val="002E2B64"/>
    <w:rsid w:val="002E2C1D"/>
    <w:rsid w:val="002E2C41"/>
    <w:rsid w:val="002E2CC4"/>
    <w:rsid w:val="002E2CDE"/>
    <w:rsid w:val="002E2D5B"/>
    <w:rsid w:val="002E2E7B"/>
    <w:rsid w:val="002E2EF3"/>
    <w:rsid w:val="002E3232"/>
    <w:rsid w:val="002E328D"/>
    <w:rsid w:val="002E37BA"/>
    <w:rsid w:val="002E3819"/>
    <w:rsid w:val="002E3918"/>
    <w:rsid w:val="002E3A6B"/>
    <w:rsid w:val="002E3C38"/>
    <w:rsid w:val="002E3CF1"/>
    <w:rsid w:val="002E3DA9"/>
    <w:rsid w:val="002E3FAC"/>
    <w:rsid w:val="002E4030"/>
    <w:rsid w:val="002E44C0"/>
    <w:rsid w:val="002E47B9"/>
    <w:rsid w:val="002E4800"/>
    <w:rsid w:val="002E496A"/>
    <w:rsid w:val="002E4A29"/>
    <w:rsid w:val="002E4A60"/>
    <w:rsid w:val="002E4AEB"/>
    <w:rsid w:val="002E4CF6"/>
    <w:rsid w:val="002E4DD4"/>
    <w:rsid w:val="002E4FF8"/>
    <w:rsid w:val="002E5316"/>
    <w:rsid w:val="002E5591"/>
    <w:rsid w:val="002E55BB"/>
    <w:rsid w:val="002E573B"/>
    <w:rsid w:val="002E584E"/>
    <w:rsid w:val="002E590B"/>
    <w:rsid w:val="002E5B93"/>
    <w:rsid w:val="002E5BB8"/>
    <w:rsid w:val="002E5D64"/>
    <w:rsid w:val="002E5DBF"/>
    <w:rsid w:val="002E5E58"/>
    <w:rsid w:val="002E5E85"/>
    <w:rsid w:val="002E5EB5"/>
    <w:rsid w:val="002E6013"/>
    <w:rsid w:val="002E609C"/>
    <w:rsid w:val="002E61EF"/>
    <w:rsid w:val="002E63B5"/>
    <w:rsid w:val="002E63F2"/>
    <w:rsid w:val="002E66AF"/>
    <w:rsid w:val="002E6772"/>
    <w:rsid w:val="002E6867"/>
    <w:rsid w:val="002E6934"/>
    <w:rsid w:val="002E6B55"/>
    <w:rsid w:val="002E6E0F"/>
    <w:rsid w:val="002E6F94"/>
    <w:rsid w:val="002E7326"/>
    <w:rsid w:val="002E7428"/>
    <w:rsid w:val="002E7463"/>
    <w:rsid w:val="002E7467"/>
    <w:rsid w:val="002E78EC"/>
    <w:rsid w:val="002E7A7C"/>
    <w:rsid w:val="002E7B27"/>
    <w:rsid w:val="002F0072"/>
    <w:rsid w:val="002F007C"/>
    <w:rsid w:val="002F00DD"/>
    <w:rsid w:val="002F0261"/>
    <w:rsid w:val="002F07CD"/>
    <w:rsid w:val="002F09CE"/>
    <w:rsid w:val="002F0CC2"/>
    <w:rsid w:val="002F0D8C"/>
    <w:rsid w:val="002F0F3D"/>
    <w:rsid w:val="002F0F99"/>
    <w:rsid w:val="002F12EF"/>
    <w:rsid w:val="002F13C2"/>
    <w:rsid w:val="002F143A"/>
    <w:rsid w:val="002F1506"/>
    <w:rsid w:val="002F1612"/>
    <w:rsid w:val="002F174D"/>
    <w:rsid w:val="002F17B5"/>
    <w:rsid w:val="002F19A7"/>
    <w:rsid w:val="002F1A95"/>
    <w:rsid w:val="002F1C14"/>
    <w:rsid w:val="002F1CC4"/>
    <w:rsid w:val="002F1CE0"/>
    <w:rsid w:val="002F1DC4"/>
    <w:rsid w:val="002F1E5F"/>
    <w:rsid w:val="002F2421"/>
    <w:rsid w:val="002F244B"/>
    <w:rsid w:val="002F2671"/>
    <w:rsid w:val="002F2C55"/>
    <w:rsid w:val="002F2D64"/>
    <w:rsid w:val="002F2F65"/>
    <w:rsid w:val="002F2FA5"/>
    <w:rsid w:val="002F3008"/>
    <w:rsid w:val="002F313E"/>
    <w:rsid w:val="002F327A"/>
    <w:rsid w:val="002F3297"/>
    <w:rsid w:val="002F3439"/>
    <w:rsid w:val="002F36CE"/>
    <w:rsid w:val="002F37A6"/>
    <w:rsid w:val="002F37BE"/>
    <w:rsid w:val="002F3879"/>
    <w:rsid w:val="002F38A7"/>
    <w:rsid w:val="002F38FD"/>
    <w:rsid w:val="002F39B5"/>
    <w:rsid w:val="002F3AEA"/>
    <w:rsid w:val="002F3C23"/>
    <w:rsid w:val="002F4023"/>
    <w:rsid w:val="002F4261"/>
    <w:rsid w:val="002F42ED"/>
    <w:rsid w:val="002F442D"/>
    <w:rsid w:val="002F45D1"/>
    <w:rsid w:val="002F45D3"/>
    <w:rsid w:val="002F460D"/>
    <w:rsid w:val="002F4661"/>
    <w:rsid w:val="002F4804"/>
    <w:rsid w:val="002F4823"/>
    <w:rsid w:val="002F4DCD"/>
    <w:rsid w:val="002F4E9F"/>
    <w:rsid w:val="002F4F65"/>
    <w:rsid w:val="002F5044"/>
    <w:rsid w:val="002F5171"/>
    <w:rsid w:val="002F5173"/>
    <w:rsid w:val="002F5317"/>
    <w:rsid w:val="002F547B"/>
    <w:rsid w:val="002F54DF"/>
    <w:rsid w:val="002F56D2"/>
    <w:rsid w:val="002F571B"/>
    <w:rsid w:val="002F57F3"/>
    <w:rsid w:val="002F586D"/>
    <w:rsid w:val="002F58D1"/>
    <w:rsid w:val="002F5920"/>
    <w:rsid w:val="002F593B"/>
    <w:rsid w:val="002F5A4E"/>
    <w:rsid w:val="002F617A"/>
    <w:rsid w:val="002F6222"/>
    <w:rsid w:val="002F63E4"/>
    <w:rsid w:val="002F68E8"/>
    <w:rsid w:val="002F6CCD"/>
    <w:rsid w:val="002F6D13"/>
    <w:rsid w:val="002F6D83"/>
    <w:rsid w:val="002F6DFA"/>
    <w:rsid w:val="002F6FD7"/>
    <w:rsid w:val="002F7660"/>
    <w:rsid w:val="002F7679"/>
    <w:rsid w:val="002F7761"/>
    <w:rsid w:val="002F7CF3"/>
    <w:rsid w:val="002F7CF6"/>
    <w:rsid w:val="002F7D4B"/>
    <w:rsid w:val="002F7FC9"/>
    <w:rsid w:val="00300015"/>
    <w:rsid w:val="00300255"/>
    <w:rsid w:val="003003FB"/>
    <w:rsid w:val="003006E6"/>
    <w:rsid w:val="00300757"/>
    <w:rsid w:val="003007E4"/>
    <w:rsid w:val="003008AD"/>
    <w:rsid w:val="00300DC7"/>
    <w:rsid w:val="00300E45"/>
    <w:rsid w:val="00300F24"/>
    <w:rsid w:val="00300FE9"/>
    <w:rsid w:val="0030115E"/>
    <w:rsid w:val="003014CF"/>
    <w:rsid w:val="003017CE"/>
    <w:rsid w:val="00301910"/>
    <w:rsid w:val="00301992"/>
    <w:rsid w:val="003019C3"/>
    <w:rsid w:val="00301B02"/>
    <w:rsid w:val="00301C04"/>
    <w:rsid w:val="00301D76"/>
    <w:rsid w:val="00301D7D"/>
    <w:rsid w:val="00301EAC"/>
    <w:rsid w:val="00302105"/>
    <w:rsid w:val="00302121"/>
    <w:rsid w:val="003023C5"/>
    <w:rsid w:val="003023EA"/>
    <w:rsid w:val="003024D0"/>
    <w:rsid w:val="00302517"/>
    <w:rsid w:val="0030251D"/>
    <w:rsid w:val="0030257F"/>
    <w:rsid w:val="003025BB"/>
    <w:rsid w:val="0030290F"/>
    <w:rsid w:val="00302984"/>
    <w:rsid w:val="00302FA8"/>
    <w:rsid w:val="003031DE"/>
    <w:rsid w:val="0030325E"/>
    <w:rsid w:val="00303425"/>
    <w:rsid w:val="00303475"/>
    <w:rsid w:val="00303638"/>
    <w:rsid w:val="00303680"/>
    <w:rsid w:val="003036D6"/>
    <w:rsid w:val="003037B2"/>
    <w:rsid w:val="003037BD"/>
    <w:rsid w:val="003037C8"/>
    <w:rsid w:val="0030385A"/>
    <w:rsid w:val="00303885"/>
    <w:rsid w:val="00303BF4"/>
    <w:rsid w:val="00303CA0"/>
    <w:rsid w:val="00303D5D"/>
    <w:rsid w:val="00303F09"/>
    <w:rsid w:val="00303FEF"/>
    <w:rsid w:val="003041A6"/>
    <w:rsid w:val="00304489"/>
    <w:rsid w:val="003044DA"/>
    <w:rsid w:val="00304EE3"/>
    <w:rsid w:val="00304F2E"/>
    <w:rsid w:val="00304F41"/>
    <w:rsid w:val="0030500C"/>
    <w:rsid w:val="00305025"/>
    <w:rsid w:val="003050F5"/>
    <w:rsid w:val="0030515F"/>
    <w:rsid w:val="003052AB"/>
    <w:rsid w:val="003052B1"/>
    <w:rsid w:val="003057AC"/>
    <w:rsid w:val="00305848"/>
    <w:rsid w:val="003058D3"/>
    <w:rsid w:val="00305911"/>
    <w:rsid w:val="00305D91"/>
    <w:rsid w:val="00305FB0"/>
    <w:rsid w:val="0030619C"/>
    <w:rsid w:val="003062AE"/>
    <w:rsid w:val="00306532"/>
    <w:rsid w:val="00306738"/>
    <w:rsid w:val="00306747"/>
    <w:rsid w:val="003067F0"/>
    <w:rsid w:val="003068C1"/>
    <w:rsid w:val="003069F5"/>
    <w:rsid w:val="00306B7A"/>
    <w:rsid w:val="00306BA3"/>
    <w:rsid w:val="00306E49"/>
    <w:rsid w:val="0030702C"/>
    <w:rsid w:val="00307233"/>
    <w:rsid w:val="00307373"/>
    <w:rsid w:val="003073A3"/>
    <w:rsid w:val="00307534"/>
    <w:rsid w:val="0030777A"/>
    <w:rsid w:val="003077B8"/>
    <w:rsid w:val="003079CB"/>
    <w:rsid w:val="00307A3C"/>
    <w:rsid w:val="00307DF8"/>
    <w:rsid w:val="00307F32"/>
    <w:rsid w:val="00310258"/>
    <w:rsid w:val="0031028A"/>
    <w:rsid w:val="003102B0"/>
    <w:rsid w:val="00310303"/>
    <w:rsid w:val="0031037C"/>
    <w:rsid w:val="00310A87"/>
    <w:rsid w:val="00310C80"/>
    <w:rsid w:val="00310CC3"/>
    <w:rsid w:val="00310EAD"/>
    <w:rsid w:val="00310F16"/>
    <w:rsid w:val="00310F6C"/>
    <w:rsid w:val="003110CC"/>
    <w:rsid w:val="003110CE"/>
    <w:rsid w:val="0031115A"/>
    <w:rsid w:val="003112F8"/>
    <w:rsid w:val="00311374"/>
    <w:rsid w:val="00311529"/>
    <w:rsid w:val="00311652"/>
    <w:rsid w:val="003117AA"/>
    <w:rsid w:val="00311B1F"/>
    <w:rsid w:val="00311BEE"/>
    <w:rsid w:val="00311C78"/>
    <w:rsid w:val="00311CC8"/>
    <w:rsid w:val="00312071"/>
    <w:rsid w:val="00312187"/>
    <w:rsid w:val="0031234D"/>
    <w:rsid w:val="0031254A"/>
    <w:rsid w:val="0031258F"/>
    <w:rsid w:val="00312594"/>
    <w:rsid w:val="003125AA"/>
    <w:rsid w:val="003127B0"/>
    <w:rsid w:val="00312870"/>
    <w:rsid w:val="003128A8"/>
    <w:rsid w:val="003128F4"/>
    <w:rsid w:val="00312A6A"/>
    <w:rsid w:val="00312C4E"/>
    <w:rsid w:val="00312C93"/>
    <w:rsid w:val="00312E37"/>
    <w:rsid w:val="00312EB2"/>
    <w:rsid w:val="00312FD7"/>
    <w:rsid w:val="00313013"/>
    <w:rsid w:val="00313073"/>
    <w:rsid w:val="00313537"/>
    <w:rsid w:val="00313665"/>
    <w:rsid w:val="00313827"/>
    <w:rsid w:val="00313B88"/>
    <w:rsid w:val="00313D1D"/>
    <w:rsid w:val="00313D69"/>
    <w:rsid w:val="00314128"/>
    <w:rsid w:val="003141ED"/>
    <w:rsid w:val="00314285"/>
    <w:rsid w:val="003142E6"/>
    <w:rsid w:val="00314309"/>
    <w:rsid w:val="003144B3"/>
    <w:rsid w:val="003144C9"/>
    <w:rsid w:val="0031454D"/>
    <w:rsid w:val="00314579"/>
    <w:rsid w:val="003145FD"/>
    <w:rsid w:val="00314716"/>
    <w:rsid w:val="0031484F"/>
    <w:rsid w:val="00314901"/>
    <w:rsid w:val="00314B01"/>
    <w:rsid w:val="00314C60"/>
    <w:rsid w:val="00314CBA"/>
    <w:rsid w:val="00314D5B"/>
    <w:rsid w:val="00314F66"/>
    <w:rsid w:val="003150DE"/>
    <w:rsid w:val="0031522A"/>
    <w:rsid w:val="003153F3"/>
    <w:rsid w:val="00315462"/>
    <w:rsid w:val="00315FB7"/>
    <w:rsid w:val="00315FF3"/>
    <w:rsid w:val="003163C2"/>
    <w:rsid w:val="00316430"/>
    <w:rsid w:val="00316826"/>
    <w:rsid w:val="00316855"/>
    <w:rsid w:val="00316A75"/>
    <w:rsid w:val="00316AEE"/>
    <w:rsid w:val="00316C37"/>
    <w:rsid w:val="00316C78"/>
    <w:rsid w:val="00316D4F"/>
    <w:rsid w:val="00316EC8"/>
    <w:rsid w:val="00316EE4"/>
    <w:rsid w:val="00316F41"/>
    <w:rsid w:val="00317001"/>
    <w:rsid w:val="003171E2"/>
    <w:rsid w:val="00317322"/>
    <w:rsid w:val="0031732B"/>
    <w:rsid w:val="00317399"/>
    <w:rsid w:val="00317591"/>
    <w:rsid w:val="003175A9"/>
    <w:rsid w:val="00317623"/>
    <w:rsid w:val="003176C8"/>
    <w:rsid w:val="00317869"/>
    <w:rsid w:val="00317A1E"/>
    <w:rsid w:val="00317A3F"/>
    <w:rsid w:val="00317B00"/>
    <w:rsid w:val="00317C94"/>
    <w:rsid w:val="00317D99"/>
    <w:rsid w:val="003201E4"/>
    <w:rsid w:val="003202FF"/>
    <w:rsid w:val="00320314"/>
    <w:rsid w:val="00320531"/>
    <w:rsid w:val="003205EE"/>
    <w:rsid w:val="00320805"/>
    <w:rsid w:val="00320913"/>
    <w:rsid w:val="003209AD"/>
    <w:rsid w:val="00320A1F"/>
    <w:rsid w:val="00320D25"/>
    <w:rsid w:val="00320E04"/>
    <w:rsid w:val="00320F4A"/>
    <w:rsid w:val="003211A7"/>
    <w:rsid w:val="003213AB"/>
    <w:rsid w:val="0032142B"/>
    <w:rsid w:val="00321484"/>
    <w:rsid w:val="0032167E"/>
    <w:rsid w:val="003218A6"/>
    <w:rsid w:val="00321B14"/>
    <w:rsid w:val="00321FE1"/>
    <w:rsid w:val="00322098"/>
    <w:rsid w:val="0032228E"/>
    <w:rsid w:val="003223AE"/>
    <w:rsid w:val="00322859"/>
    <w:rsid w:val="003228D8"/>
    <w:rsid w:val="00322955"/>
    <w:rsid w:val="0032299E"/>
    <w:rsid w:val="003229A0"/>
    <w:rsid w:val="00322AC0"/>
    <w:rsid w:val="00322BF8"/>
    <w:rsid w:val="00322C52"/>
    <w:rsid w:val="00322FAF"/>
    <w:rsid w:val="00323116"/>
    <w:rsid w:val="0032312F"/>
    <w:rsid w:val="00323320"/>
    <w:rsid w:val="0032332A"/>
    <w:rsid w:val="00323479"/>
    <w:rsid w:val="003236B4"/>
    <w:rsid w:val="0032381E"/>
    <w:rsid w:val="003239DC"/>
    <w:rsid w:val="00323BF1"/>
    <w:rsid w:val="00323C56"/>
    <w:rsid w:val="00323ECF"/>
    <w:rsid w:val="00323F7F"/>
    <w:rsid w:val="0032400F"/>
    <w:rsid w:val="003240F9"/>
    <w:rsid w:val="00324132"/>
    <w:rsid w:val="00324134"/>
    <w:rsid w:val="00324178"/>
    <w:rsid w:val="0032435B"/>
    <w:rsid w:val="003243DD"/>
    <w:rsid w:val="003244D4"/>
    <w:rsid w:val="00324505"/>
    <w:rsid w:val="00324589"/>
    <w:rsid w:val="003245F2"/>
    <w:rsid w:val="0032460B"/>
    <w:rsid w:val="003247D1"/>
    <w:rsid w:val="00324825"/>
    <w:rsid w:val="00324896"/>
    <w:rsid w:val="0032493C"/>
    <w:rsid w:val="003249ED"/>
    <w:rsid w:val="00324A31"/>
    <w:rsid w:val="00324D3D"/>
    <w:rsid w:val="00324FB1"/>
    <w:rsid w:val="00325205"/>
    <w:rsid w:val="00325248"/>
    <w:rsid w:val="0032530C"/>
    <w:rsid w:val="0032564C"/>
    <w:rsid w:val="00325764"/>
    <w:rsid w:val="003257CF"/>
    <w:rsid w:val="00325BBD"/>
    <w:rsid w:val="00325E43"/>
    <w:rsid w:val="00325F18"/>
    <w:rsid w:val="00325F62"/>
    <w:rsid w:val="00325FE9"/>
    <w:rsid w:val="003260A1"/>
    <w:rsid w:val="0032620A"/>
    <w:rsid w:val="0032627B"/>
    <w:rsid w:val="00326299"/>
    <w:rsid w:val="00326540"/>
    <w:rsid w:val="00326987"/>
    <w:rsid w:val="00326CF8"/>
    <w:rsid w:val="00326E85"/>
    <w:rsid w:val="00327303"/>
    <w:rsid w:val="0032744C"/>
    <w:rsid w:val="00327461"/>
    <w:rsid w:val="0032780F"/>
    <w:rsid w:val="003278DB"/>
    <w:rsid w:val="00327B25"/>
    <w:rsid w:val="00327FFE"/>
    <w:rsid w:val="00330153"/>
    <w:rsid w:val="00330273"/>
    <w:rsid w:val="00330642"/>
    <w:rsid w:val="0033071C"/>
    <w:rsid w:val="003307BD"/>
    <w:rsid w:val="003309EE"/>
    <w:rsid w:val="00330B5C"/>
    <w:rsid w:val="00330B70"/>
    <w:rsid w:val="00330C24"/>
    <w:rsid w:val="00330CB4"/>
    <w:rsid w:val="00330DEB"/>
    <w:rsid w:val="00330E3B"/>
    <w:rsid w:val="00330ED2"/>
    <w:rsid w:val="00330F12"/>
    <w:rsid w:val="00330F44"/>
    <w:rsid w:val="00331133"/>
    <w:rsid w:val="00331137"/>
    <w:rsid w:val="00331684"/>
    <w:rsid w:val="003316BD"/>
    <w:rsid w:val="00331720"/>
    <w:rsid w:val="0033173A"/>
    <w:rsid w:val="00331B0B"/>
    <w:rsid w:val="00331D10"/>
    <w:rsid w:val="00331D66"/>
    <w:rsid w:val="00331E50"/>
    <w:rsid w:val="00331E65"/>
    <w:rsid w:val="00332032"/>
    <w:rsid w:val="00332479"/>
    <w:rsid w:val="003327E6"/>
    <w:rsid w:val="00332A5C"/>
    <w:rsid w:val="00332B09"/>
    <w:rsid w:val="00332D59"/>
    <w:rsid w:val="00332DA9"/>
    <w:rsid w:val="00332F0E"/>
    <w:rsid w:val="00333046"/>
    <w:rsid w:val="0033322A"/>
    <w:rsid w:val="00333296"/>
    <w:rsid w:val="003332F8"/>
    <w:rsid w:val="00333416"/>
    <w:rsid w:val="00333707"/>
    <w:rsid w:val="003339F2"/>
    <w:rsid w:val="00333A19"/>
    <w:rsid w:val="00333AB9"/>
    <w:rsid w:val="00333B5D"/>
    <w:rsid w:val="00333EDE"/>
    <w:rsid w:val="00333F80"/>
    <w:rsid w:val="003340AE"/>
    <w:rsid w:val="0033410B"/>
    <w:rsid w:val="003341C9"/>
    <w:rsid w:val="003343A1"/>
    <w:rsid w:val="0033457E"/>
    <w:rsid w:val="003347F4"/>
    <w:rsid w:val="00334825"/>
    <w:rsid w:val="003349BB"/>
    <w:rsid w:val="00334AA5"/>
    <w:rsid w:val="00334AB6"/>
    <w:rsid w:val="00334C17"/>
    <w:rsid w:val="00335133"/>
    <w:rsid w:val="003351D0"/>
    <w:rsid w:val="003354F4"/>
    <w:rsid w:val="00335760"/>
    <w:rsid w:val="00335A03"/>
    <w:rsid w:val="00335B14"/>
    <w:rsid w:val="00335E6D"/>
    <w:rsid w:val="00335E93"/>
    <w:rsid w:val="00335EE2"/>
    <w:rsid w:val="00335F1D"/>
    <w:rsid w:val="00335FA7"/>
    <w:rsid w:val="00336087"/>
    <w:rsid w:val="00336262"/>
    <w:rsid w:val="0033631A"/>
    <w:rsid w:val="003364A6"/>
    <w:rsid w:val="00336600"/>
    <w:rsid w:val="00336701"/>
    <w:rsid w:val="00336985"/>
    <w:rsid w:val="00336BE5"/>
    <w:rsid w:val="00336C57"/>
    <w:rsid w:val="00336D04"/>
    <w:rsid w:val="00336E99"/>
    <w:rsid w:val="00336F4D"/>
    <w:rsid w:val="003370AD"/>
    <w:rsid w:val="003371EB"/>
    <w:rsid w:val="003372F0"/>
    <w:rsid w:val="00337448"/>
    <w:rsid w:val="00337591"/>
    <w:rsid w:val="003378EA"/>
    <w:rsid w:val="003379AB"/>
    <w:rsid w:val="00337A6B"/>
    <w:rsid w:val="00337C29"/>
    <w:rsid w:val="00337C96"/>
    <w:rsid w:val="00337DAC"/>
    <w:rsid w:val="00337DEE"/>
    <w:rsid w:val="00337EB8"/>
    <w:rsid w:val="00337ECA"/>
    <w:rsid w:val="0034002A"/>
    <w:rsid w:val="003400A5"/>
    <w:rsid w:val="003401F1"/>
    <w:rsid w:val="0034023C"/>
    <w:rsid w:val="00340252"/>
    <w:rsid w:val="00340414"/>
    <w:rsid w:val="00340657"/>
    <w:rsid w:val="00340668"/>
    <w:rsid w:val="00340BB4"/>
    <w:rsid w:val="00340D70"/>
    <w:rsid w:val="00340D7F"/>
    <w:rsid w:val="00340DA7"/>
    <w:rsid w:val="00340DF0"/>
    <w:rsid w:val="00340E20"/>
    <w:rsid w:val="00340EF6"/>
    <w:rsid w:val="00341102"/>
    <w:rsid w:val="0034128B"/>
    <w:rsid w:val="00341350"/>
    <w:rsid w:val="003417ED"/>
    <w:rsid w:val="003418BA"/>
    <w:rsid w:val="0034196C"/>
    <w:rsid w:val="00341A5E"/>
    <w:rsid w:val="00341B9D"/>
    <w:rsid w:val="00341ED8"/>
    <w:rsid w:val="00341FA1"/>
    <w:rsid w:val="00341FEA"/>
    <w:rsid w:val="003423D7"/>
    <w:rsid w:val="00342400"/>
    <w:rsid w:val="0034254D"/>
    <w:rsid w:val="003426F1"/>
    <w:rsid w:val="0034277A"/>
    <w:rsid w:val="003427D0"/>
    <w:rsid w:val="00342A42"/>
    <w:rsid w:val="00342B8A"/>
    <w:rsid w:val="00342F39"/>
    <w:rsid w:val="00343352"/>
    <w:rsid w:val="0034342E"/>
    <w:rsid w:val="00343574"/>
    <w:rsid w:val="00343709"/>
    <w:rsid w:val="003437D2"/>
    <w:rsid w:val="0034386A"/>
    <w:rsid w:val="00343913"/>
    <w:rsid w:val="00343B0D"/>
    <w:rsid w:val="00343E40"/>
    <w:rsid w:val="00343E6B"/>
    <w:rsid w:val="00343F36"/>
    <w:rsid w:val="0034419C"/>
    <w:rsid w:val="0034431C"/>
    <w:rsid w:val="003443D8"/>
    <w:rsid w:val="003449CA"/>
    <w:rsid w:val="00344C3C"/>
    <w:rsid w:val="00344C62"/>
    <w:rsid w:val="00345411"/>
    <w:rsid w:val="00345425"/>
    <w:rsid w:val="0034551A"/>
    <w:rsid w:val="0034560C"/>
    <w:rsid w:val="0034564C"/>
    <w:rsid w:val="003456AB"/>
    <w:rsid w:val="00345864"/>
    <w:rsid w:val="0034598B"/>
    <w:rsid w:val="003459EC"/>
    <w:rsid w:val="00345EA6"/>
    <w:rsid w:val="00345EBD"/>
    <w:rsid w:val="00346066"/>
    <w:rsid w:val="0034658D"/>
    <w:rsid w:val="00346669"/>
    <w:rsid w:val="00346739"/>
    <w:rsid w:val="00346900"/>
    <w:rsid w:val="0034699E"/>
    <w:rsid w:val="00346A43"/>
    <w:rsid w:val="00346DD6"/>
    <w:rsid w:val="00346EDD"/>
    <w:rsid w:val="0034715A"/>
    <w:rsid w:val="003471D8"/>
    <w:rsid w:val="00347207"/>
    <w:rsid w:val="003472D8"/>
    <w:rsid w:val="003473CF"/>
    <w:rsid w:val="003473DC"/>
    <w:rsid w:val="003477B3"/>
    <w:rsid w:val="0034787F"/>
    <w:rsid w:val="00347BDA"/>
    <w:rsid w:val="00347D45"/>
    <w:rsid w:val="00347E92"/>
    <w:rsid w:val="00347EE3"/>
    <w:rsid w:val="00347F00"/>
    <w:rsid w:val="00347F47"/>
    <w:rsid w:val="003500F9"/>
    <w:rsid w:val="00350246"/>
    <w:rsid w:val="003502FA"/>
    <w:rsid w:val="003504DA"/>
    <w:rsid w:val="0035052F"/>
    <w:rsid w:val="00350725"/>
    <w:rsid w:val="0035086F"/>
    <w:rsid w:val="00350BC6"/>
    <w:rsid w:val="00350C0D"/>
    <w:rsid w:val="00350D17"/>
    <w:rsid w:val="00350DAD"/>
    <w:rsid w:val="0035104A"/>
    <w:rsid w:val="00351135"/>
    <w:rsid w:val="003511B6"/>
    <w:rsid w:val="003511EC"/>
    <w:rsid w:val="0035166A"/>
    <w:rsid w:val="003516B1"/>
    <w:rsid w:val="00351740"/>
    <w:rsid w:val="00351827"/>
    <w:rsid w:val="003519FF"/>
    <w:rsid w:val="00351BF2"/>
    <w:rsid w:val="00352092"/>
    <w:rsid w:val="0035216A"/>
    <w:rsid w:val="00352374"/>
    <w:rsid w:val="0035256C"/>
    <w:rsid w:val="00352B8D"/>
    <w:rsid w:val="00352C69"/>
    <w:rsid w:val="00352DCC"/>
    <w:rsid w:val="0035304C"/>
    <w:rsid w:val="003530C1"/>
    <w:rsid w:val="0035324E"/>
    <w:rsid w:val="00353298"/>
    <w:rsid w:val="00353429"/>
    <w:rsid w:val="00353525"/>
    <w:rsid w:val="00353541"/>
    <w:rsid w:val="00353879"/>
    <w:rsid w:val="003539B5"/>
    <w:rsid w:val="00353A92"/>
    <w:rsid w:val="00353B38"/>
    <w:rsid w:val="00353C42"/>
    <w:rsid w:val="00353CBD"/>
    <w:rsid w:val="00353D22"/>
    <w:rsid w:val="00353DCA"/>
    <w:rsid w:val="00353DCF"/>
    <w:rsid w:val="00353E0C"/>
    <w:rsid w:val="003542D0"/>
    <w:rsid w:val="003542FC"/>
    <w:rsid w:val="003543E4"/>
    <w:rsid w:val="0035459F"/>
    <w:rsid w:val="003545DA"/>
    <w:rsid w:val="00354614"/>
    <w:rsid w:val="00354671"/>
    <w:rsid w:val="0035468A"/>
    <w:rsid w:val="003549B0"/>
    <w:rsid w:val="00354CF4"/>
    <w:rsid w:val="00354DB1"/>
    <w:rsid w:val="00354F5E"/>
    <w:rsid w:val="00354F79"/>
    <w:rsid w:val="0035505A"/>
    <w:rsid w:val="003551BE"/>
    <w:rsid w:val="003556F8"/>
    <w:rsid w:val="003556FB"/>
    <w:rsid w:val="003559B8"/>
    <w:rsid w:val="00355ACA"/>
    <w:rsid w:val="00355D90"/>
    <w:rsid w:val="00355F5E"/>
    <w:rsid w:val="00355FA6"/>
    <w:rsid w:val="00356316"/>
    <w:rsid w:val="00356A4D"/>
    <w:rsid w:val="00356B3D"/>
    <w:rsid w:val="00356C15"/>
    <w:rsid w:val="00356D66"/>
    <w:rsid w:val="0035723C"/>
    <w:rsid w:val="003572BF"/>
    <w:rsid w:val="003573F8"/>
    <w:rsid w:val="00357440"/>
    <w:rsid w:val="003575D7"/>
    <w:rsid w:val="00357808"/>
    <w:rsid w:val="0035793F"/>
    <w:rsid w:val="00357E13"/>
    <w:rsid w:val="0036021A"/>
    <w:rsid w:val="003605C6"/>
    <w:rsid w:val="0036062D"/>
    <w:rsid w:val="0036079C"/>
    <w:rsid w:val="00360A5C"/>
    <w:rsid w:val="00360BC8"/>
    <w:rsid w:val="00360EB6"/>
    <w:rsid w:val="0036100E"/>
    <w:rsid w:val="003611FB"/>
    <w:rsid w:val="00361541"/>
    <w:rsid w:val="0036156E"/>
    <w:rsid w:val="003616B1"/>
    <w:rsid w:val="0036171D"/>
    <w:rsid w:val="0036194C"/>
    <w:rsid w:val="00361B74"/>
    <w:rsid w:val="00361CCA"/>
    <w:rsid w:val="00361F23"/>
    <w:rsid w:val="00362002"/>
    <w:rsid w:val="00362260"/>
    <w:rsid w:val="003622F3"/>
    <w:rsid w:val="00362383"/>
    <w:rsid w:val="003626D5"/>
    <w:rsid w:val="00362723"/>
    <w:rsid w:val="00362953"/>
    <w:rsid w:val="00362A09"/>
    <w:rsid w:val="00362BDB"/>
    <w:rsid w:val="00362C09"/>
    <w:rsid w:val="00362D18"/>
    <w:rsid w:val="00363018"/>
    <w:rsid w:val="00363188"/>
    <w:rsid w:val="003633A9"/>
    <w:rsid w:val="0036367F"/>
    <w:rsid w:val="00363753"/>
    <w:rsid w:val="0036395E"/>
    <w:rsid w:val="0036399B"/>
    <w:rsid w:val="00363A41"/>
    <w:rsid w:val="00363B3B"/>
    <w:rsid w:val="00363CF3"/>
    <w:rsid w:val="00363D93"/>
    <w:rsid w:val="00363E78"/>
    <w:rsid w:val="00363F56"/>
    <w:rsid w:val="0036412E"/>
    <w:rsid w:val="003643BB"/>
    <w:rsid w:val="003643BE"/>
    <w:rsid w:val="003644B5"/>
    <w:rsid w:val="003644C8"/>
    <w:rsid w:val="00364703"/>
    <w:rsid w:val="00364975"/>
    <w:rsid w:val="00364B43"/>
    <w:rsid w:val="00364E5A"/>
    <w:rsid w:val="00364E9C"/>
    <w:rsid w:val="00364FEC"/>
    <w:rsid w:val="003650E7"/>
    <w:rsid w:val="003651AA"/>
    <w:rsid w:val="00365318"/>
    <w:rsid w:val="0036543E"/>
    <w:rsid w:val="0036561E"/>
    <w:rsid w:val="00365767"/>
    <w:rsid w:val="00365841"/>
    <w:rsid w:val="00365848"/>
    <w:rsid w:val="003658C5"/>
    <w:rsid w:val="003658D0"/>
    <w:rsid w:val="00365972"/>
    <w:rsid w:val="003659DB"/>
    <w:rsid w:val="003659FF"/>
    <w:rsid w:val="00365AB8"/>
    <w:rsid w:val="00365B69"/>
    <w:rsid w:val="00365B9F"/>
    <w:rsid w:val="00365D2A"/>
    <w:rsid w:val="00365D45"/>
    <w:rsid w:val="00365E73"/>
    <w:rsid w:val="00365ECC"/>
    <w:rsid w:val="00366062"/>
    <w:rsid w:val="003660F3"/>
    <w:rsid w:val="00366152"/>
    <w:rsid w:val="00366377"/>
    <w:rsid w:val="003663EA"/>
    <w:rsid w:val="0036654F"/>
    <w:rsid w:val="003667ED"/>
    <w:rsid w:val="003668B9"/>
    <w:rsid w:val="0036699E"/>
    <w:rsid w:val="00366A8F"/>
    <w:rsid w:val="00366DB1"/>
    <w:rsid w:val="00366E10"/>
    <w:rsid w:val="00366EAE"/>
    <w:rsid w:val="00366FA4"/>
    <w:rsid w:val="00367003"/>
    <w:rsid w:val="00367115"/>
    <w:rsid w:val="0036711E"/>
    <w:rsid w:val="00367132"/>
    <w:rsid w:val="0036721E"/>
    <w:rsid w:val="003674C8"/>
    <w:rsid w:val="003676ED"/>
    <w:rsid w:val="003677E9"/>
    <w:rsid w:val="00367813"/>
    <w:rsid w:val="00367854"/>
    <w:rsid w:val="00367AEF"/>
    <w:rsid w:val="00367CAD"/>
    <w:rsid w:val="003701FF"/>
    <w:rsid w:val="00370343"/>
    <w:rsid w:val="00370363"/>
    <w:rsid w:val="00370608"/>
    <w:rsid w:val="003706BE"/>
    <w:rsid w:val="00370748"/>
    <w:rsid w:val="00370826"/>
    <w:rsid w:val="0037082B"/>
    <w:rsid w:val="0037083C"/>
    <w:rsid w:val="00370A0C"/>
    <w:rsid w:val="00370D84"/>
    <w:rsid w:val="00370FAD"/>
    <w:rsid w:val="003710E2"/>
    <w:rsid w:val="003711AA"/>
    <w:rsid w:val="003712DA"/>
    <w:rsid w:val="0037135C"/>
    <w:rsid w:val="00371381"/>
    <w:rsid w:val="00371437"/>
    <w:rsid w:val="00371A67"/>
    <w:rsid w:val="00371A7B"/>
    <w:rsid w:val="00371B56"/>
    <w:rsid w:val="00371C13"/>
    <w:rsid w:val="00371D04"/>
    <w:rsid w:val="00371F41"/>
    <w:rsid w:val="00371F8C"/>
    <w:rsid w:val="00371FA0"/>
    <w:rsid w:val="003722AE"/>
    <w:rsid w:val="003726B2"/>
    <w:rsid w:val="003726E0"/>
    <w:rsid w:val="0037295D"/>
    <w:rsid w:val="00372DB7"/>
    <w:rsid w:val="00372F18"/>
    <w:rsid w:val="0037300D"/>
    <w:rsid w:val="00373074"/>
    <w:rsid w:val="00373161"/>
    <w:rsid w:val="003733A4"/>
    <w:rsid w:val="003734EC"/>
    <w:rsid w:val="00373700"/>
    <w:rsid w:val="00373717"/>
    <w:rsid w:val="00373766"/>
    <w:rsid w:val="00373856"/>
    <w:rsid w:val="003739A4"/>
    <w:rsid w:val="003739B8"/>
    <w:rsid w:val="00373AAE"/>
    <w:rsid w:val="00373BAB"/>
    <w:rsid w:val="00373C49"/>
    <w:rsid w:val="00373C5D"/>
    <w:rsid w:val="00373C79"/>
    <w:rsid w:val="00373CF5"/>
    <w:rsid w:val="00373E53"/>
    <w:rsid w:val="00373E9E"/>
    <w:rsid w:val="00373EBD"/>
    <w:rsid w:val="00373FCF"/>
    <w:rsid w:val="00373FEE"/>
    <w:rsid w:val="00374092"/>
    <w:rsid w:val="003741FD"/>
    <w:rsid w:val="00374280"/>
    <w:rsid w:val="003742AE"/>
    <w:rsid w:val="0037431F"/>
    <w:rsid w:val="003746BE"/>
    <w:rsid w:val="003746E1"/>
    <w:rsid w:val="00374730"/>
    <w:rsid w:val="00374821"/>
    <w:rsid w:val="003749A6"/>
    <w:rsid w:val="00374A33"/>
    <w:rsid w:val="00374A92"/>
    <w:rsid w:val="00374BF7"/>
    <w:rsid w:val="00374D35"/>
    <w:rsid w:val="0037524F"/>
    <w:rsid w:val="0037525A"/>
    <w:rsid w:val="00375616"/>
    <w:rsid w:val="0037562E"/>
    <w:rsid w:val="003756F0"/>
    <w:rsid w:val="003757FA"/>
    <w:rsid w:val="003758EE"/>
    <w:rsid w:val="00375AED"/>
    <w:rsid w:val="00375E4B"/>
    <w:rsid w:val="00375F9E"/>
    <w:rsid w:val="003760B7"/>
    <w:rsid w:val="00376105"/>
    <w:rsid w:val="00376447"/>
    <w:rsid w:val="00376455"/>
    <w:rsid w:val="0037649E"/>
    <w:rsid w:val="003764D2"/>
    <w:rsid w:val="0037651F"/>
    <w:rsid w:val="003766A4"/>
    <w:rsid w:val="003766ED"/>
    <w:rsid w:val="0037683D"/>
    <w:rsid w:val="003769DA"/>
    <w:rsid w:val="00376D10"/>
    <w:rsid w:val="00376FF2"/>
    <w:rsid w:val="00377478"/>
    <w:rsid w:val="00377518"/>
    <w:rsid w:val="003778BE"/>
    <w:rsid w:val="00377B68"/>
    <w:rsid w:val="00377B82"/>
    <w:rsid w:val="00377C7F"/>
    <w:rsid w:val="00377FF5"/>
    <w:rsid w:val="00380225"/>
    <w:rsid w:val="00380268"/>
    <w:rsid w:val="003804DB"/>
    <w:rsid w:val="00380534"/>
    <w:rsid w:val="0038055A"/>
    <w:rsid w:val="003807EC"/>
    <w:rsid w:val="003808FB"/>
    <w:rsid w:val="00380DC1"/>
    <w:rsid w:val="00380F88"/>
    <w:rsid w:val="00381039"/>
    <w:rsid w:val="00381138"/>
    <w:rsid w:val="00381324"/>
    <w:rsid w:val="00381592"/>
    <w:rsid w:val="00381611"/>
    <w:rsid w:val="00381826"/>
    <w:rsid w:val="003818B2"/>
    <w:rsid w:val="00381B0B"/>
    <w:rsid w:val="00381B5F"/>
    <w:rsid w:val="00381B96"/>
    <w:rsid w:val="00381CA1"/>
    <w:rsid w:val="00381F93"/>
    <w:rsid w:val="00382238"/>
    <w:rsid w:val="003823E2"/>
    <w:rsid w:val="003823E3"/>
    <w:rsid w:val="00382484"/>
    <w:rsid w:val="00382707"/>
    <w:rsid w:val="003828C1"/>
    <w:rsid w:val="00382901"/>
    <w:rsid w:val="00382981"/>
    <w:rsid w:val="00382AF6"/>
    <w:rsid w:val="00382CEB"/>
    <w:rsid w:val="00382D7A"/>
    <w:rsid w:val="00382EFD"/>
    <w:rsid w:val="00383028"/>
    <w:rsid w:val="0038316D"/>
    <w:rsid w:val="0038322C"/>
    <w:rsid w:val="0038346A"/>
    <w:rsid w:val="003839BD"/>
    <w:rsid w:val="003840F1"/>
    <w:rsid w:val="0038456B"/>
    <w:rsid w:val="00384D02"/>
    <w:rsid w:val="00384D73"/>
    <w:rsid w:val="00384DFE"/>
    <w:rsid w:val="00384E74"/>
    <w:rsid w:val="00384FCC"/>
    <w:rsid w:val="00385027"/>
    <w:rsid w:val="00385213"/>
    <w:rsid w:val="00385522"/>
    <w:rsid w:val="00385619"/>
    <w:rsid w:val="0038562E"/>
    <w:rsid w:val="00385963"/>
    <w:rsid w:val="003859A7"/>
    <w:rsid w:val="00385A56"/>
    <w:rsid w:val="00385CC8"/>
    <w:rsid w:val="00385D2B"/>
    <w:rsid w:val="00385DC5"/>
    <w:rsid w:val="00385E5A"/>
    <w:rsid w:val="003860B7"/>
    <w:rsid w:val="0038638D"/>
    <w:rsid w:val="0038641A"/>
    <w:rsid w:val="003866CB"/>
    <w:rsid w:val="003866EE"/>
    <w:rsid w:val="0038674B"/>
    <w:rsid w:val="003868B5"/>
    <w:rsid w:val="003869B8"/>
    <w:rsid w:val="00386AEB"/>
    <w:rsid w:val="00386B5E"/>
    <w:rsid w:val="00386D90"/>
    <w:rsid w:val="00386E4C"/>
    <w:rsid w:val="00386EEA"/>
    <w:rsid w:val="00386F05"/>
    <w:rsid w:val="0038712F"/>
    <w:rsid w:val="00387168"/>
    <w:rsid w:val="00387226"/>
    <w:rsid w:val="003872C5"/>
    <w:rsid w:val="0038767B"/>
    <w:rsid w:val="00387763"/>
    <w:rsid w:val="003878C5"/>
    <w:rsid w:val="00387A0F"/>
    <w:rsid w:val="00387A1A"/>
    <w:rsid w:val="00387AC1"/>
    <w:rsid w:val="00387BF4"/>
    <w:rsid w:val="00387E56"/>
    <w:rsid w:val="00387E60"/>
    <w:rsid w:val="00387E93"/>
    <w:rsid w:val="003901FB"/>
    <w:rsid w:val="0039048E"/>
    <w:rsid w:val="003906CC"/>
    <w:rsid w:val="00390724"/>
    <w:rsid w:val="00390743"/>
    <w:rsid w:val="00390756"/>
    <w:rsid w:val="00390789"/>
    <w:rsid w:val="0039099A"/>
    <w:rsid w:val="00390B5E"/>
    <w:rsid w:val="00390F01"/>
    <w:rsid w:val="0039111D"/>
    <w:rsid w:val="00391138"/>
    <w:rsid w:val="003913C1"/>
    <w:rsid w:val="00391445"/>
    <w:rsid w:val="003916E1"/>
    <w:rsid w:val="0039186F"/>
    <w:rsid w:val="0039194B"/>
    <w:rsid w:val="00391A0D"/>
    <w:rsid w:val="00391AC9"/>
    <w:rsid w:val="00391CA6"/>
    <w:rsid w:val="00391DCF"/>
    <w:rsid w:val="00392610"/>
    <w:rsid w:val="003926A3"/>
    <w:rsid w:val="003926A9"/>
    <w:rsid w:val="003926B7"/>
    <w:rsid w:val="003926EF"/>
    <w:rsid w:val="00392A7A"/>
    <w:rsid w:val="00392AD3"/>
    <w:rsid w:val="00392BA0"/>
    <w:rsid w:val="00392CE5"/>
    <w:rsid w:val="00392DD7"/>
    <w:rsid w:val="00393120"/>
    <w:rsid w:val="00393178"/>
    <w:rsid w:val="003931CF"/>
    <w:rsid w:val="00393206"/>
    <w:rsid w:val="00393285"/>
    <w:rsid w:val="00393309"/>
    <w:rsid w:val="00393506"/>
    <w:rsid w:val="00393527"/>
    <w:rsid w:val="00393574"/>
    <w:rsid w:val="003937E8"/>
    <w:rsid w:val="0039386C"/>
    <w:rsid w:val="00393B4F"/>
    <w:rsid w:val="00393DA9"/>
    <w:rsid w:val="00393EC3"/>
    <w:rsid w:val="00393F25"/>
    <w:rsid w:val="00393F6E"/>
    <w:rsid w:val="0039430F"/>
    <w:rsid w:val="00394354"/>
    <w:rsid w:val="0039439E"/>
    <w:rsid w:val="003945D3"/>
    <w:rsid w:val="003945E3"/>
    <w:rsid w:val="00394840"/>
    <w:rsid w:val="00394B12"/>
    <w:rsid w:val="00394DB5"/>
    <w:rsid w:val="00394F9B"/>
    <w:rsid w:val="00395009"/>
    <w:rsid w:val="00395100"/>
    <w:rsid w:val="0039511D"/>
    <w:rsid w:val="00395191"/>
    <w:rsid w:val="00395205"/>
    <w:rsid w:val="003953D1"/>
    <w:rsid w:val="0039547F"/>
    <w:rsid w:val="003956DF"/>
    <w:rsid w:val="003958D4"/>
    <w:rsid w:val="00395C54"/>
    <w:rsid w:val="00395E9C"/>
    <w:rsid w:val="00396096"/>
    <w:rsid w:val="0039652B"/>
    <w:rsid w:val="003967EE"/>
    <w:rsid w:val="00396819"/>
    <w:rsid w:val="00396A54"/>
    <w:rsid w:val="00396B83"/>
    <w:rsid w:val="00396CE4"/>
    <w:rsid w:val="00397614"/>
    <w:rsid w:val="00397901"/>
    <w:rsid w:val="003979B3"/>
    <w:rsid w:val="00397A77"/>
    <w:rsid w:val="00397AB7"/>
    <w:rsid w:val="00397B47"/>
    <w:rsid w:val="00397B85"/>
    <w:rsid w:val="00397EDF"/>
    <w:rsid w:val="00397EF9"/>
    <w:rsid w:val="003A03CB"/>
    <w:rsid w:val="003A05A4"/>
    <w:rsid w:val="003A06B6"/>
    <w:rsid w:val="003A08AD"/>
    <w:rsid w:val="003A08DA"/>
    <w:rsid w:val="003A09FE"/>
    <w:rsid w:val="003A0ACA"/>
    <w:rsid w:val="003A0B93"/>
    <w:rsid w:val="003A0BCD"/>
    <w:rsid w:val="003A0F79"/>
    <w:rsid w:val="003A117F"/>
    <w:rsid w:val="003A1588"/>
    <w:rsid w:val="003A1675"/>
    <w:rsid w:val="003A1823"/>
    <w:rsid w:val="003A1AA9"/>
    <w:rsid w:val="003A1D32"/>
    <w:rsid w:val="003A1E53"/>
    <w:rsid w:val="003A21E5"/>
    <w:rsid w:val="003A2423"/>
    <w:rsid w:val="003A24B6"/>
    <w:rsid w:val="003A2C5F"/>
    <w:rsid w:val="003A2E1E"/>
    <w:rsid w:val="003A2E82"/>
    <w:rsid w:val="003A2EB8"/>
    <w:rsid w:val="003A32CD"/>
    <w:rsid w:val="003A3315"/>
    <w:rsid w:val="003A339E"/>
    <w:rsid w:val="003A34E6"/>
    <w:rsid w:val="003A34F5"/>
    <w:rsid w:val="003A35FA"/>
    <w:rsid w:val="003A364F"/>
    <w:rsid w:val="003A3822"/>
    <w:rsid w:val="003A3C1C"/>
    <w:rsid w:val="003A4026"/>
    <w:rsid w:val="003A407E"/>
    <w:rsid w:val="003A4125"/>
    <w:rsid w:val="003A415F"/>
    <w:rsid w:val="003A4368"/>
    <w:rsid w:val="003A467D"/>
    <w:rsid w:val="003A4709"/>
    <w:rsid w:val="003A4829"/>
    <w:rsid w:val="003A4899"/>
    <w:rsid w:val="003A49F7"/>
    <w:rsid w:val="003A4CCA"/>
    <w:rsid w:val="003A4D60"/>
    <w:rsid w:val="003A4D71"/>
    <w:rsid w:val="003A4E83"/>
    <w:rsid w:val="003A4E99"/>
    <w:rsid w:val="003A506D"/>
    <w:rsid w:val="003A50FC"/>
    <w:rsid w:val="003A50FF"/>
    <w:rsid w:val="003A51A2"/>
    <w:rsid w:val="003A5285"/>
    <w:rsid w:val="003A5325"/>
    <w:rsid w:val="003A5455"/>
    <w:rsid w:val="003A54C8"/>
    <w:rsid w:val="003A5720"/>
    <w:rsid w:val="003A57AD"/>
    <w:rsid w:val="003A5806"/>
    <w:rsid w:val="003A58B5"/>
    <w:rsid w:val="003A59E9"/>
    <w:rsid w:val="003A5AB2"/>
    <w:rsid w:val="003A5B6F"/>
    <w:rsid w:val="003A5C19"/>
    <w:rsid w:val="003A5DB5"/>
    <w:rsid w:val="003A5E6F"/>
    <w:rsid w:val="003A61A1"/>
    <w:rsid w:val="003A622E"/>
    <w:rsid w:val="003A6378"/>
    <w:rsid w:val="003A657E"/>
    <w:rsid w:val="003A65AD"/>
    <w:rsid w:val="003A65C7"/>
    <w:rsid w:val="003A69E1"/>
    <w:rsid w:val="003A6AA3"/>
    <w:rsid w:val="003A6B3F"/>
    <w:rsid w:val="003A6CF7"/>
    <w:rsid w:val="003A6CFB"/>
    <w:rsid w:val="003A6D1F"/>
    <w:rsid w:val="003A6DF8"/>
    <w:rsid w:val="003A6E6A"/>
    <w:rsid w:val="003A6F39"/>
    <w:rsid w:val="003A7154"/>
    <w:rsid w:val="003A71CA"/>
    <w:rsid w:val="003A739C"/>
    <w:rsid w:val="003A73A7"/>
    <w:rsid w:val="003A73BB"/>
    <w:rsid w:val="003A7697"/>
    <w:rsid w:val="003A770B"/>
    <w:rsid w:val="003A7726"/>
    <w:rsid w:val="003A7928"/>
    <w:rsid w:val="003A79E9"/>
    <w:rsid w:val="003A7B3D"/>
    <w:rsid w:val="003A7B68"/>
    <w:rsid w:val="003A7BE4"/>
    <w:rsid w:val="003A7D94"/>
    <w:rsid w:val="003B012C"/>
    <w:rsid w:val="003B027A"/>
    <w:rsid w:val="003B03C4"/>
    <w:rsid w:val="003B0560"/>
    <w:rsid w:val="003B07B6"/>
    <w:rsid w:val="003B086A"/>
    <w:rsid w:val="003B0871"/>
    <w:rsid w:val="003B09B4"/>
    <w:rsid w:val="003B13CE"/>
    <w:rsid w:val="003B140B"/>
    <w:rsid w:val="003B1686"/>
    <w:rsid w:val="003B1797"/>
    <w:rsid w:val="003B18DE"/>
    <w:rsid w:val="003B1DB6"/>
    <w:rsid w:val="003B1FA4"/>
    <w:rsid w:val="003B1FBB"/>
    <w:rsid w:val="003B21B9"/>
    <w:rsid w:val="003B2713"/>
    <w:rsid w:val="003B279A"/>
    <w:rsid w:val="003B2968"/>
    <w:rsid w:val="003B2BD3"/>
    <w:rsid w:val="003B2E6A"/>
    <w:rsid w:val="003B2E93"/>
    <w:rsid w:val="003B3081"/>
    <w:rsid w:val="003B3248"/>
    <w:rsid w:val="003B32F5"/>
    <w:rsid w:val="003B3410"/>
    <w:rsid w:val="003B35BE"/>
    <w:rsid w:val="003B35C0"/>
    <w:rsid w:val="003B36B9"/>
    <w:rsid w:val="003B36BD"/>
    <w:rsid w:val="003B387A"/>
    <w:rsid w:val="003B3C2F"/>
    <w:rsid w:val="003B3C3D"/>
    <w:rsid w:val="003B3CD1"/>
    <w:rsid w:val="003B3DF8"/>
    <w:rsid w:val="003B3F03"/>
    <w:rsid w:val="003B401B"/>
    <w:rsid w:val="003B43CB"/>
    <w:rsid w:val="003B46A8"/>
    <w:rsid w:val="003B4A65"/>
    <w:rsid w:val="003B4C9A"/>
    <w:rsid w:val="003B4D72"/>
    <w:rsid w:val="003B4D9F"/>
    <w:rsid w:val="003B4FCD"/>
    <w:rsid w:val="003B504E"/>
    <w:rsid w:val="003B52FF"/>
    <w:rsid w:val="003B55AA"/>
    <w:rsid w:val="003B57B7"/>
    <w:rsid w:val="003B582D"/>
    <w:rsid w:val="003B5941"/>
    <w:rsid w:val="003B59D5"/>
    <w:rsid w:val="003B5A23"/>
    <w:rsid w:val="003B5AE3"/>
    <w:rsid w:val="003B5AEC"/>
    <w:rsid w:val="003B5D5D"/>
    <w:rsid w:val="003B5E5C"/>
    <w:rsid w:val="003B5ECC"/>
    <w:rsid w:val="003B5F3D"/>
    <w:rsid w:val="003B6313"/>
    <w:rsid w:val="003B6666"/>
    <w:rsid w:val="003B6721"/>
    <w:rsid w:val="003B684F"/>
    <w:rsid w:val="003B6D75"/>
    <w:rsid w:val="003B7168"/>
    <w:rsid w:val="003B718C"/>
    <w:rsid w:val="003B76DA"/>
    <w:rsid w:val="003B7778"/>
    <w:rsid w:val="003B7A0C"/>
    <w:rsid w:val="003B7AF5"/>
    <w:rsid w:val="003B7BD2"/>
    <w:rsid w:val="003B7D18"/>
    <w:rsid w:val="003B7D89"/>
    <w:rsid w:val="003C001D"/>
    <w:rsid w:val="003C0033"/>
    <w:rsid w:val="003C0210"/>
    <w:rsid w:val="003C02B2"/>
    <w:rsid w:val="003C036E"/>
    <w:rsid w:val="003C045E"/>
    <w:rsid w:val="003C04E4"/>
    <w:rsid w:val="003C0583"/>
    <w:rsid w:val="003C05B3"/>
    <w:rsid w:val="003C062C"/>
    <w:rsid w:val="003C0899"/>
    <w:rsid w:val="003C0A3E"/>
    <w:rsid w:val="003C0D79"/>
    <w:rsid w:val="003C0D8A"/>
    <w:rsid w:val="003C0DF1"/>
    <w:rsid w:val="003C0F76"/>
    <w:rsid w:val="003C118B"/>
    <w:rsid w:val="003C19A2"/>
    <w:rsid w:val="003C19C0"/>
    <w:rsid w:val="003C1B67"/>
    <w:rsid w:val="003C1C09"/>
    <w:rsid w:val="003C1CA0"/>
    <w:rsid w:val="003C1D58"/>
    <w:rsid w:val="003C1DB0"/>
    <w:rsid w:val="003C1E97"/>
    <w:rsid w:val="003C1F19"/>
    <w:rsid w:val="003C1FA2"/>
    <w:rsid w:val="003C205E"/>
    <w:rsid w:val="003C2159"/>
    <w:rsid w:val="003C229C"/>
    <w:rsid w:val="003C23B5"/>
    <w:rsid w:val="003C2464"/>
    <w:rsid w:val="003C252E"/>
    <w:rsid w:val="003C2771"/>
    <w:rsid w:val="003C293B"/>
    <w:rsid w:val="003C29DA"/>
    <w:rsid w:val="003C2A24"/>
    <w:rsid w:val="003C2B02"/>
    <w:rsid w:val="003C2BF2"/>
    <w:rsid w:val="003C2C06"/>
    <w:rsid w:val="003C2D18"/>
    <w:rsid w:val="003C2DB1"/>
    <w:rsid w:val="003C2E36"/>
    <w:rsid w:val="003C33AF"/>
    <w:rsid w:val="003C3432"/>
    <w:rsid w:val="003C34F8"/>
    <w:rsid w:val="003C37C1"/>
    <w:rsid w:val="003C3852"/>
    <w:rsid w:val="003C38EC"/>
    <w:rsid w:val="003C3B58"/>
    <w:rsid w:val="003C3B89"/>
    <w:rsid w:val="003C3EEE"/>
    <w:rsid w:val="003C3F29"/>
    <w:rsid w:val="003C434A"/>
    <w:rsid w:val="003C474D"/>
    <w:rsid w:val="003C47AB"/>
    <w:rsid w:val="003C4812"/>
    <w:rsid w:val="003C4850"/>
    <w:rsid w:val="003C4878"/>
    <w:rsid w:val="003C4AB8"/>
    <w:rsid w:val="003C4BE5"/>
    <w:rsid w:val="003C4D14"/>
    <w:rsid w:val="003C4D99"/>
    <w:rsid w:val="003C4E9E"/>
    <w:rsid w:val="003C4FAD"/>
    <w:rsid w:val="003C5092"/>
    <w:rsid w:val="003C5149"/>
    <w:rsid w:val="003C51F4"/>
    <w:rsid w:val="003C5201"/>
    <w:rsid w:val="003C5281"/>
    <w:rsid w:val="003C52CB"/>
    <w:rsid w:val="003C5601"/>
    <w:rsid w:val="003C56A0"/>
    <w:rsid w:val="003C56A2"/>
    <w:rsid w:val="003C587D"/>
    <w:rsid w:val="003C58EA"/>
    <w:rsid w:val="003C5A71"/>
    <w:rsid w:val="003C5A9D"/>
    <w:rsid w:val="003C5B57"/>
    <w:rsid w:val="003C5C74"/>
    <w:rsid w:val="003C5D09"/>
    <w:rsid w:val="003C5E78"/>
    <w:rsid w:val="003C5FA2"/>
    <w:rsid w:val="003C5FEA"/>
    <w:rsid w:val="003C60E7"/>
    <w:rsid w:val="003C60F0"/>
    <w:rsid w:val="003C622F"/>
    <w:rsid w:val="003C6253"/>
    <w:rsid w:val="003C62E4"/>
    <w:rsid w:val="003C6375"/>
    <w:rsid w:val="003C6547"/>
    <w:rsid w:val="003C65B8"/>
    <w:rsid w:val="003C6865"/>
    <w:rsid w:val="003C696F"/>
    <w:rsid w:val="003C6B03"/>
    <w:rsid w:val="003C6C41"/>
    <w:rsid w:val="003C6F37"/>
    <w:rsid w:val="003C6F39"/>
    <w:rsid w:val="003C6FC8"/>
    <w:rsid w:val="003C73AF"/>
    <w:rsid w:val="003C7701"/>
    <w:rsid w:val="003C784A"/>
    <w:rsid w:val="003C7A8B"/>
    <w:rsid w:val="003C7D77"/>
    <w:rsid w:val="003C7F1F"/>
    <w:rsid w:val="003D004C"/>
    <w:rsid w:val="003D027A"/>
    <w:rsid w:val="003D0350"/>
    <w:rsid w:val="003D0488"/>
    <w:rsid w:val="003D0530"/>
    <w:rsid w:val="003D0608"/>
    <w:rsid w:val="003D06B5"/>
    <w:rsid w:val="003D076F"/>
    <w:rsid w:val="003D09D5"/>
    <w:rsid w:val="003D0A29"/>
    <w:rsid w:val="003D0A55"/>
    <w:rsid w:val="003D0F8B"/>
    <w:rsid w:val="003D108D"/>
    <w:rsid w:val="003D146F"/>
    <w:rsid w:val="003D152F"/>
    <w:rsid w:val="003D1784"/>
    <w:rsid w:val="003D179E"/>
    <w:rsid w:val="003D17E0"/>
    <w:rsid w:val="003D1C7E"/>
    <w:rsid w:val="003D1D2F"/>
    <w:rsid w:val="003D1DE0"/>
    <w:rsid w:val="003D1F4D"/>
    <w:rsid w:val="003D1FEC"/>
    <w:rsid w:val="003D2141"/>
    <w:rsid w:val="003D2234"/>
    <w:rsid w:val="003D23C7"/>
    <w:rsid w:val="003D24F5"/>
    <w:rsid w:val="003D2772"/>
    <w:rsid w:val="003D292D"/>
    <w:rsid w:val="003D2AED"/>
    <w:rsid w:val="003D2C0D"/>
    <w:rsid w:val="003D2E1A"/>
    <w:rsid w:val="003D2EC4"/>
    <w:rsid w:val="003D3007"/>
    <w:rsid w:val="003D3074"/>
    <w:rsid w:val="003D3100"/>
    <w:rsid w:val="003D3125"/>
    <w:rsid w:val="003D3140"/>
    <w:rsid w:val="003D31BE"/>
    <w:rsid w:val="003D3298"/>
    <w:rsid w:val="003D329F"/>
    <w:rsid w:val="003D34C2"/>
    <w:rsid w:val="003D34C4"/>
    <w:rsid w:val="003D3525"/>
    <w:rsid w:val="003D367A"/>
    <w:rsid w:val="003D36CB"/>
    <w:rsid w:val="003D372B"/>
    <w:rsid w:val="003D3B2E"/>
    <w:rsid w:val="003D3C2E"/>
    <w:rsid w:val="003D3CE8"/>
    <w:rsid w:val="003D3F2B"/>
    <w:rsid w:val="003D3FBA"/>
    <w:rsid w:val="003D3FF3"/>
    <w:rsid w:val="003D4093"/>
    <w:rsid w:val="003D40A6"/>
    <w:rsid w:val="003D40CF"/>
    <w:rsid w:val="003D40EA"/>
    <w:rsid w:val="003D415E"/>
    <w:rsid w:val="003D41C4"/>
    <w:rsid w:val="003D41DD"/>
    <w:rsid w:val="003D439D"/>
    <w:rsid w:val="003D43E5"/>
    <w:rsid w:val="003D4508"/>
    <w:rsid w:val="003D4611"/>
    <w:rsid w:val="003D472D"/>
    <w:rsid w:val="003D47B2"/>
    <w:rsid w:val="003D4BB3"/>
    <w:rsid w:val="003D5075"/>
    <w:rsid w:val="003D50D2"/>
    <w:rsid w:val="003D53AD"/>
    <w:rsid w:val="003D5433"/>
    <w:rsid w:val="003D543C"/>
    <w:rsid w:val="003D5446"/>
    <w:rsid w:val="003D5B07"/>
    <w:rsid w:val="003D5E9B"/>
    <w:rsid w:val="003D5EAA"/>
    <w:rsid w:val="003D5FF9"/>
    <w:rsid w:val="003D6024"/>
    <w:rsid w:val="003D60F2"/>
    <w:rsid w:val="003D64A7"/>
    <w:rsid w:val="003D67D2"/>
    <w:rsid w:val="003D68A2"/>
    <w:rsid w:val="003D6B53"/>
    <w:rsid w:val="003D6BFF"/>
    <w:rsid w:val="003D6DFD"/>
    <w:rsid w:val="003D6E26"/>
    <w:rsid w:val="003D6E49"/>
    <w:rsid w:val="003D6F78"/>
    <w:rsid w:val="003D6FE5"/>
    <w:rsid w:val="003D7242"/>
    <w:rsid w:val="003D7270"/>
    <w:rsid w:val="003D7306"/>
    <w:rsid w:val="003D7395"/>
    <w:rsid w:val="003D756F"/>
    <w:rsid w:val="003D76AC"/>
    <w:rsid w:val="003D77B9"/>
    <w:rsid w:val="003D77BA"/>
    <w:rsid w:val="003D77CB"/>
    <w:rsid w:val="003D7843"/>
    <w:rsid w:val="003D7B0B"/>
    <w:rsid w:val="003D7BAE"/>
    <w:rsid w:val="003D7C67"/>
    <w:rsid w:val="003D7C97"/>
    <w:rsid w:val="003D7DB9"/>
    <w:rsid w:val="003E0010"/>
    <w:rsid w:val="003E0037"/>
    <w:rsid w:val="003E0311"/>
    <w:rsid w:val="003E038D"/>
    <w:rsid w:val="003E084D"/>
    <w:rsid w:val="003E084F"/>
    <w:rsid w:val="003E0983"/>
    <w:rsid w:val="003E09A5"/>
    <w:rsid w:val="003E0B79"/>
    <w:rsid w:val="003E0EF0"/>
    <w:rsid w:val="003E0F5C"/>
    <w:rsid w:val="003E0FA7"/>
    <w:rsid w:val="003E0FAE"/>
    <w:rsid w:val="003E1492"/>
    <w:rsid w:val="003E1577"/>
    <w:rsid w:val="003E157F"/>
    <w:rsid w:val="003E15D6"/>
    <w:rsid w:val="003E18B1"/>
    <w:rsid w:val="003E18FC"/>
    <w:rsid w:val="003E1952"/>
    <w:rsid w:val="003E198A"/>
    <w:rsid w:val="003E19A3"/>
    <w:rsid w:val="003E1ACA"/>
    <w:rsid w:val="003E1B66"/>
    <w:rsid w:val="003E1DF0"/>
    <w:rsid w:val="003E20C2"/>
    <w:rsid w:val="003E20EA"/>
    <w:rsid w:val="003E234E"/>
    <w:rsid w:val="003E2449"/>
    <w:rsid w:val="003E25A3"/>
    <w:rsid w:val="003E25C3"/>
    <w:rsid w:val="003E2601"/>
    <w:rsid w:val="003E2A5E"/>
    <w:rsid w:val="003E2AC0"/>
    <w:rsid w:val="003E2B97"/>
    <w:rsid w:val="003E2C4F"/>
    <w:rsid w:val="003E2CD0"/>
    <w:rsid w:val="003E2EAF"/>
    <w:rsid w:val="003E3099"/>
    <w:rsid w:val="003E30F4"/>
    <w:rsid w:val="003E31B1"/>
    <w:rsid w:val="003E31FC"/>
    <w:rsid w:val="003E332F"/>
    <w:rsid w:val="003E33DD"/>
    <w:rsid w:val="003E3426"/>
    <w:rsid w:val="003E35EF"/>
    <w:rsid w:val="003E36E6"/>
    <w:rsid w:val="003E38D7"/>
    <w:rsid w:val="003E38F4"/>
    <w:rsid w:val="003E3AF1"/>
    <w:rsid w:val="003E3D49"/>
    <w:rsid w:val="003E421D"/>
    <w:rsid w:val="003E4303"/>
    <w:rsid w:val="003E45D8"/>
    <w:rsid w:val="003E4699"/>
    <w:rsid w:val="003E473F"/>
    <w:rsid w:val="003E49E5"/>
    <w:rsid w:val="003E503C"/>
    <w:rsid w:val="003E5057"/>
    <w:rsid w:val="003E509C"/>
    <w:rsid w:val="003E527D"/>
    <w:rsid w:val="003E5373"/>
    <w:rsid w:val="003E5764"/>
    <w:rsid w:val="003E57E2"/>
    <w:rsid w:val="003E58EC"/>
    <w:rsid w:val="003E5A67"/>
    <w:rsid w:val="003E5D4D"/>
    <w:rsid w:val="003E5F27"/>
    <w:rsid w:val="003E5FAA"/>
    <w:rsid w:val="003E64A5"/>
    <w:rsid w:val="003E6559"/>
    <w:rsid w:val="003E66B9"/>
    <w:rsid w:val="003E66D3"/>
    <w:rsid w:val="003E674A"/>
    <w:rsid w:val="003E695E"/>
    <w:rsid w:val="003E69AA"/>
    <w:rsid w:val="003E6B32"/>
    <w:rsid w:val="003E6B7B"/>
    <w:rsid w:val="003E6CCE"/>
    <w:rsid w:val="003E6CE0"/>
    <w:rsid w:val="003E6D22"/>
    <w:rsid w:val="003E6D4C"/>
    <w:rsid w:val="003E7460"/>
    <w:rsid w:val="003E747E"/>
    <w:rsid w:val="003E7735"/>
    <w:rsid w:val="003E7793"/>
    <w:rsid w:val="003E7885"/>
    <w:rsid w:val="003F0073"/>
    <w:rsid w:val="003F02B3"/>
    <w:rsid w:val="003F0344"/>
    <w:rsid w:val="003F06A5"/>
    <w:rsid w:val="003F06AF"/>
    <w:rsid w:val="003F071E"/>
    <w:rsid w:val="003F08CD"/>
    <w:rsid w:val="003F09C0"/>
    <w:rsid w:val="003F0B14"/>
    <w:rsid w:val="003F1305"/>
    <w:rsid w:val="003F138F"/>
    <w:rsid w:val="003F18F4"/>
    <w:rsid w:val="003F1A2D"/>
    <w:rsid w:val="003F1DB0"/>
    <w:rsid w:val="003F1F10"/>
    <w:rsid w:val="003F1F12"/>
    <w:rsid w:val="003F1FE1"/>
    <w:rsid w:val="003F2054"/>
    <w:rsid w:val="003F2137"/>
    <w:rsid w:val="003F2173"/>
    <w:rsid w:val="003F22BC"/>
    <w:rsid w:val="003F22F5"/>
    <w:rsid w:val="003F2324"/>
    <w:rsid w:val="003F241F"/>
    <w:rsid w:val="003F2695"/>
    <w:rsid w:val="003F29D2"/>
    <w:rsid w:val="003F2B5E"/>
    <w:rsid w:val="003F2C95"/>
    <w:rsid w:val="003F2D72"/>
    <w:rsid w:val="003F2DC6"/>
    <w:rsid w:val="003F2FB6"/>
    <w:rsid w:val="003F308A"/>
    <w:rsid w:val="003F319A"/>
    <w:rsid w:val="003F31AF"/>
    <w:rsid w:val="003F31FC"/>
    <w:rsid w:val="003F3228"/>
    <w:rsid w:val="003F3645"/>
    <w:rsid w:val="003F3703"/>
    <w:rsid w:val="003F3857"/>
    <w:rsid w:val="003F38CB"/>
    <w:rsid w:val="003F3A4D"/>
    <w:rsid w:val="003F3AC8"/>
    <w:rsid w:val="003F3BBA"/>
    <w:rsid w:val="003F3BF0"/>
    <w:rsid w:val="003F40E8"/>
    <w:rsid w:val="003F40F6"/>
    <w:rsid w:val="003F42DA"/>
    <w:rsid w:val="003F4452"/>
    <w:rsid w:val="003F4454"/>
    <w:rsid w:val="003F44F2"/>
    <w:rsid w:val="003F45F5"/>
    <w:rsid w:val="003F4602"/>
    <w:rsid w:val="003F4783"/>
    <w:rsid w:val="003F4801"/>
    <w:rsid w:val="003F4826"/>
    <w:rsid w:val="003F493D"/>
    <w:rsid w:val="003F4AD9"/>
    <w:rsid w:val="003F4B14"/>
    <w:rsid w:val="003F4B7A"/>
    <w:rsid w:val="003F4E80"/>
    <w:rsid w:val="003F4FFA"/>
    <w:rsid w:val="003F55EB"/>
    <w:rsid w:val="003F5695"/>
    <w:rsid w:val="003F59F2"/>
    <w:rsid w:val="003F5BDA"/>
    <w:rsid w:val="003F5E94"/>
    <w:rsid w:val="003F5F78"/>
    <w:rsid w:val="003F6126"/>
    <w:rsid w:val="003F61C2"/>
    <w:rsid w:val="003F6294"/>
    <w:rsid w:val="003F6311"/>
    <w:rsid w:val="003F6370"/>
    <w:rsid w:val="003F66C6"/>
    <w:rsid w:val="003F6741"/>
    <w:rsid w:val="003F69BE"/>
    <w:rsid w:val="003F6B8E"/>
    <w:rsid w:val="003F6D95"/>
    <w:rsid w:val="003F6E2D"/>
    <w:rsid w:val="003F6E40"/>
    <w:rsid w:val="003F6E63"/>
    <w:rsid w:val="003F7058"/>
    <w:rsid w:val="003F70FC"/>
    <w:rsid w:val="003F71CE"/>
    <w:rsid w:val="003F73C6"/>
    <w:rsid w:val="003F73CA"/>
    <w:rsid w:val="003F74C8"/>
    <w:rsid w:val="003F75F0"/>
    <w:rsid w:val="003F77EF"/>
    <w:rsid w:val="003F7947"/>
    <w:rsid w:val="003F794C"/>
    <w:rsid w:val="003F7951"/>
    <w:rsid w:val="003F7A83"/>
    <w:rsid w:val="003F7B70"/>
    <w:rsid w:val="003F7CF0"/>
    <w:rsid w:val="00400046"/>
    <w:rsid w:val="0040024A"/>
    <w:rsid w:val="00400295"/>
    <w:rsid w:val="004002CB"/>
    <w:rsid w:val="00400523"/>
    <w:rsid w:val="004006C9"/>
    <w:rsid w:val="0040080E"/>
    <w:rsid w:val="004008BE"/>
    <w:rsid w:val="00400C74"/>
    <w:rsid w:val="00400D12"/>
    <w:rsid w:val="00400DBD"/>
    <w:rsid w:val="00400EF3"/>
    <w:rsid w:val="00400EF7"/>
    <w:rsid w:val="00401018"/>
    <w:rsid w:val="00401823"/>
    <w:rsid w:val="00401903"/>
    <w:rsid w:val="0040198E"/>
    <w:rsid w:val="00401ACA"/>
    <w:rsid w:val="004023A1"/>
    <w:rsid w:val="004024CA"/>
    <w:rsid w:val="00402619"/>
    <w:rsid w:val="00402716"/>
    <w:rsid w:val="004027AF"/>
    <w:rsid w:val="004027C6"/>
    <w:rsid w:val="00402958"/>
    <w:rsid w:val="00402A6E"/>
    <w:rsid w:val="00402C93"/>
    <w:rsid w:val="00402DCB"/>
    <w:rsid w:val="00402EA7"/>
    <w:rsid w:val="00402F19"/>
    <w:rsid w:val="004031FF"/>
    <w:rsid w:val="00403359"/>
    <w:rsid w:val="004033D1"/>
    <w:rsid w:val="00403548"/>
    <w:rsid w:val="0040371F"/>
    <w:rsid w:val="0040398B"/>
    <w:rsid w:val="00403B62"/>
    <w:rsid w:val="00403C29"/>
    <w:rsid w:val="00403CC7"/>
    <w:rsid w:val="00403D73"/>
    <w:rsid w:val="00403F4F"/>
    <w:rsid w:val="00404147"/>
    <w:rsid w:val="0040466B"/>
    <w:rsid w:val="00404865"/>
    <w:rsid w:val="00404B91"/>
    <w:rsid w:val="00404CCE"/>
    <w:rsid w:val="00404F14"/>
    <w:rsid w:val="00405028"/>
    <w:rsid w:val="004050EF"/>
    <w:rsid w:val="00405165"/>
    <w:rsid w:val="0040572A"/>
    <w:rsid w:val="00405736"/>
    <w:rsid w:val="00405809"/>
    <w:rsid w:val="00405A71"/>
    <w:rsid w:val="00405B06"/>
    <w:rsid w:val="00405B27"/>
    <w:rsid w:val="00405CC6"/>
    <w:rsid w:val="00405F29"/>
    <w:rsid w:val="00405F83"/>
    <w:rsid w:val="00406093"/>
    <w:rsid w:val="00406409"/>
    <w:rsid w:val="00406725"/>
    <w:rsid w:val="0040674C"/>
    <w:rsid w:val="0040679B"/>
    <w:rsid w:val="004067FB"/>
    <w:rsid w:val="00406873"/>
    <w:rsid w:val="00406AC2"/>
    <w:rsid w:val="00406C59"/>
    <w:rsid w:val="00406CEC"/>
    <w:rsid w:val="00406EC8"/>
    <w:rsid w:val="00406F3F"/>
    <w:rsid w:val="004070E8"/>
    <w:rsid w:val="0040726D"/>
    <w:rsid w:val="00407292"/>
    <w:rsid w:val="00407449"/>
    <w:rsid w:val="00407507"/>
    <w:rsid w:val="004079E4"/>
    <w:rsid w:val="00407D52"/>
    <w:rsid w:val="00407E69"/>
    <w:rsid w:val="00407EE8"/>
    <w:rsid w:val="00407F36"/>
    <w:rsid w:val="004102E6"/>
    <w:rsid w:val="00410442"/>
    <w:rsid w:val="0041046D"/>
    <w:rsid w:val="004104E2"/>
    <w:rsid w:val="004105DC"/>
    <w:rsid w:val="004105FD"/>
    <w:rsid w:val="0041067F"/>
    <w:rsid w:val="004106B1"/>
    <w:rsid w:val="0041070C"/>
    <w:rsid w:val="00410734"/>
    <w:rsid w:val="0041073F"/>
    <w:rsid w:val="00410760"/>
    <w:rsid w:val="004107BF"/>
    <w:rsid w:val="00410ABC"/>
    <w:rsid w:val="00410E93"/>
    <w:rsid w:val="004110BF"/>
    <w:rsid w:val="004112DF"/>
    <w:rsid w:val="00411512"/>
    <w:rsid w:val="004117EC"/>
    <w:rsid w:val="00411B40"/>
    <w:rsid w:val="00411C12"/>
    <w:rsid w:val="00411C26"/>
    <w:rsid w:val="00411F31"/>
    <w:rsid w:val="00411FB6"/>
    <w:rsid w:val="00412055"/>
    <w:rsid w:val="00412145"/>
    <w:rsid w:val="004121F8"/>
    <w:rsid w:val="0041277E"/>
    <w:rsid w:val="004131F5"/>
    <w:rsid w:val="004132E8"/>
    <w:rsid w:val="00413367"/>
    <w:rsid w:val="004133C1"/>
    <w:rsid w:val="00413505"/>
    <w:rsid w:val="0041350A"/>
    <w:rsid w:val="0041350E"/>
    <w:rsid w:val="004136D6"/>
    <w:rsid w:val="004137E9"/>
    <w:rsid w:val="0041384D"/>
    <w:rsid w:val="00413850"/>
    <w:rsid w:val="004139E7"/>
    <w:rsid w:val="00413AAA"/>
    <w:rsid w:val="00413B32"/>
    <w:rsid w:val="00413C20"/>
    <w:rsid w:val="00413F9D"/>
    <w:rsid w:val="0041421D"/>
    <w:rsid w:val="004142F9"/>
    <w:rsid w:val="004143A6"/>
    <w:rsid w:val="004144E8"/>
    <w:rsid w:val="004146C2"/>
    <w:rsid w:val="00414724"/>
    <w:rsid w:val="004147E9"/>
    <w:rsid w:val="004148B2"/>
    <w:rsid w:val="00414A6D"/>
    <w:rsid w:val="00414B89"/>
    <w:rsid w:val="00414FD4"/>
    <w:rsid w:val="004151F5"/>
    <w:rsid w:val="00415305"/>
    <w:rsid w:val="00415412"/>
    <w:rsid w:val="004154C2"/>
    <w:rsid w:val="0041552A"/>
    <w:rsid w:val="00415976"/>
    <w:rsid w:val="00415ABC"/>
    <w:rsid w:val="00415ACE"/>
    <w:rsid w:val="00415DAA"/>
    <w:rsid w:val="00415F42"/>
    <w:rsid w:val="00415FB3"/>
    <w:rsid w:val="004162D0"/>
    <w:rsid w:val="004164A1"/>
    <w:rsid w:val="00416505"/>
    <w:rsid w:val="0041656B"/>
    <w:rsid w:val="004167AE"/>
    <w:rsid w:val="00416858"/>
    <w:rsid w:val="0041690E"/>
    <w:rsid w:val="00416914"/>
    <w:rsid w:val="0041695C"/>
    <w:rsid w:val="004169BC"/>
    <w:rsid w:val="00416CC0"/>
    <w:rsid w:val="00416DC4"/>
    <w:rsid w:val="00416EA4"/>
    <w:rsid w:val="00416F36"/>
    <w:rsid w:val="00417131"/>
    <w:rsid w:val="004172D3"/>
    <w:rsid w:val="004175B9"/>
    <w:rsid w:val="004177E4"/>
    <w:rsid w:val="00417861"/>
    <w:rsid w:val="00417894"/>
    <w:rsid w:val="00417F8C"/>
    <w:rsid w:val="004200FA"/>
    <w:rsid w:val="00420327"/>
    <w:rsid w:val="0042040E"/>
    <w:rsid w:val="004204AC"/>
    <w:rsid w:val="0042058F"/>
    <w:rsid w:val="004205AF"/>
    <w:rsid w:val="004205F7"/>
    <w:rsid w:val="0042082D"/>
    <w:rsid w:val="0042094D"/>
    <w:rsid w:val="0042098A"/>
    <w:rsid w:val="00420ADC"/>
    <w:rsid w:val="00420B21"/>
    <w:rsid w:val="00420B31"/>
    <w:rsid w:val="00420C70"/>
    <w:rsid w:val="00420E9B"/>
    <w:rsid w:val="00420F17"/>
    <w:rsid w:val="00420FD3"/>
    <w:rsid w:val="00421050"/>
    <w:rsid w:val="00421436"/>
    <w:rsid w:val="004214AE"/>
    <w:rsid w:val="00421531"/>
    <w:rsid w:val="00421785"/>
    <w:rsid w:val="00421854"/>
    <w:rsid w:val="0042186A"/>
    <w:rsid w:val="0042194D"/>
    <w:rsid w:val="004219ED"/>
    <w:rsid w:val="00421CCC"/>
    <w:rsid w:val="00421D1A"/>
    <w:rsid w:val="00421DFC"/>
    <w:rsid w:val="00422461"/>
    <w:rsid w:val="004227C6"/>
    <w:rsid w:val="00422A7B"/>
    <w:rsid w:val="00422B43"/>
    <w:rsid w:val="00422B5E"/>
    <w:rsid w:val="00423314"/>
    <w:rsid w:val="004233F0"/>
    <w:rsid w:val="0042367F"/>
    <w:rsid w:val="004236A0"/>
    <w:rsid w:val="00423A03"/>
    <w:rsid w:val="00423A19"/>
    <w:rsid w:val="00423A4E"/>
    <w:rsid w:val="00423D10"/>
    <w:rsid w:val="00423D6B"/>
    <w:rsid w:val="00423E93"/>
    <w:rsid w:val="00423ECA"/>
    <w:rsid w:val="00423F18"/>
    <w:rsid w:val="0042432A"/>
    <w:rsid w:val="00424340"/>
    <w:rsid w:val="00424787"/>
    <w:rsid w:val="004248F1"/>
    <w:rsid w:val="00424915"/>
    <w:rsid w:val="004250B4"/>
    <w:rsid w:val="00425276"/>
    <w:rsid w:val="00425495"/>
    <w:rsid w:val="004254A9"/>
    <w:rsid w:val="004255B9"/>
    <w:rsid w:val="00425642"/>
    <w:rsid w:val="0042575F"/>
    <w:rsid w:val="0042584C"/>
    <w:rsid w:val="004258C7"/>
    <w:rsid w:val="004258D8"/>
    <w:rsid w:val="004259B2"/>
    <w:rsid w:val="004259B4"/>
    <w:rsid w:val="00425C3E"/>
    <w:rsid w:val="00425D37"/>
    <w:rsid w:val="00425DBF"/>
    <w:rsid w:val="00425E45"/>
    <w:rsid w:val="00426026"/>
    <w:rsid w:val="004260F8"/>
    <w:rsid w:val="004261FC"/>
    <w:rsid w:val="004262DC"/>
    <w:rsid w:val="00426397"/>
    <w:rsid w:val="004265B2"/>
    <w:rsid w:val="00426719"/>
    <w:rsid w:val="00426783"/>
    <w:rsid w:val="004267E0"/>
    <w:rsid w:val="00426B54"/>
    <w:rsid w:val="00426C1D"/>
    <w:rsid w:val="00426D58"/>
    <w:rsid w:val="00426FC3"/>
    <w:rsid w:val="00426FCF"/>
    <w:rsid w:val="0042709D"/>
    <w:rsid w:val="004270AD"/>
    <w:rsid w:val="00427130"/>
    <w:rsid w:val="004271EE"/>
    <w:rsid w:val="0042728F"/>
    <w:rsid w:val="004276DA"/>
    <w:rsid w:val="00427776"/>
    <w:rsid w:val="004277BA"/>
    <w:rsid w:val="004277BB"/>
    <w:rsid w:val="00427A6B"/>
    <w:rsid w:val="00427E68"/>
    <w:rsid w:val="004300A1"/>
    <w:rsid w:val="00430469"/>
    <w:rsid w:val="004304ED"/>
    <w:rsid w:val="004304F7"/>
    <w:rsid w:val="0043050D"/>
    <w:rsid w:val="004308DE"/>
    <w:rsid w:val="00430A85"/>
    <w:rsid w:val="00430B0B"/>
    <w:rsid w:val="00430B14"/>
    <w:rsid w:val="00430BDF"/>
    <w:rsid w:val="00430CAE"/>
    <w:rsid w:val="00430EAA"/>
    <w:rsid w:val="004312E4"/>
    <w:rsid w:val="00431415"/>
    <w:rsid w:val="004314C2"/>
    <w:rsid w:val="00431715"/>
    <w:rsid w:val="0043188A"/>
    <w:rsid w:val="0043195A"/>
    <w:rsid w:val="004319CE"/>
    <w:rsid w:val="00431A2C"/>
    <w:rsid w:val="00431C5A"/>
    <w:rsid w:val="00431D4D"/>
    <w:rsid w:val="00431E69"/>
    <w:rsid w:val="00431ED6"/>
    <w:rsid w:val="00432166"/>
    <w:rsid w:val="00432178"/>
    <w:rsid w:val="004323FB"/>
    <w:rsid w:val="00432643"/>
    <w:rsid w:val="00432765"/>
    <w:rsid w:val="004327A0"/>
    <w:rsid w:val="0043282E"/>
    <w:rsid w:val="00432921"/>
    <w:rsid w:val="00432A89"/>
    <w:rsid w:val="00432C44"/>
    <w:rsid w:val="00432D59"/>
    <w:rsid w:val="00432D7D"/>
    <w:rsid w:val="00432E8F"/>
    <w:rsid w:val="004330F7"/>
    <w:rsid w:val="0043312E"/>
    <w:rsid w:val="00433190"/>
    <w:rsid w:val="00433700"/>
    <w:rsid w:val="00433734"/>
    <w:rsid w:val="0043381E"/>
    <w:rsid w:val="00433826"/>
    <w:rsid w:val="004338DB"/>
    <w:rsid w:val="00433ABF"/>
    <w:rsid w:val="00433AEF"/>
    <w:rsid w:val="00433B30"/>
    <w:rsid w:val="00433B58"/>
    <w:rsid w:val="00433D05"/>
    <w:rsid w:val="00433F32"/>
    <w:rsid w:val="0043406A"/>
    <w:rsid w:val="004340C2"/>
    <w:rsid w:val="004341A2"/>
    <w:rsid w:val="004344F7"/>
    <w:rsid w:val="004345BB"/>
    <w:rsid w:val="00434631"/>
    <w:rsid w:val="004347FD"/>
    <w:rsid w:val="004349DB"/>
    <w:rsid w:val="00434CD2"/>
    <w:rsid w:val="00434D0C"/>
    <w:rsid w:val="00434FFC"/>
    <w:rsid w:val="004350E2"/>
    <w:rsid w:val="0043510B"/>
    <w:rsid w:val="00435278"/>
    <w:rsid w:val="004354FA"/>
    <w:rsid w:val="00435689"/>
    <w:rsid w:val="0043570B"/>
    <w:rsid w:val="00435972"/>
    <w:rsid w:val="00436078"/>
    <w:rsid w:val="0043619A"/>
    <w:rsid w:val="004361B3"/>
    <w:rsid w:val="00436504"/>
    <w:rsid w:val="00436821"/>
    <w:rsid w:val="00436850"/>
    <w:rsid w:val="004368B5"/>
    <w:rsid w:val="004368CE"/>
    <w:rsid w:val="004369EB"/>
    <w:rsid w:val="00436BDD"/>
    <w:rsid w:val="00436BEF"/>
    <w:rsid w:val="00436C9F"/>
    <w:rsid w:val="00436DBD"/>
    <w:rsid w:val="0043703C"/>
    <w:rsid w:val="004371F5"/>
    <w:rsid w:val="0043752F"/>
    <w:rsid w:val="00437589"/>
    <w:rsid w:val="00437A94"/>
    <w:rsid w:val="00437A9F"/>
    <w:rsid w:val="00437B96"/>
    <w:rsid w:val="00437BA7"/>
    <w:rsid w:val="00437BBB"/>
    <w:rsid w:val="00437D57"/>
    <w:rsid w:val="00437EC9"/>
    <w:rsid w:val="00437F7C"/>
    <w:rsid w:val="00437FEE"/>
    <w:rsid w:val="00440527"/>
    <w:rsid w:val="004405B0"/>
    <w:rsid w:val="004406ED"/>
    <w:rsid w:val="0044076E"/>
    <w:rsid w:val="0044078E"/>
    <w:rsid w:val="00440867"/>
    <w:rsid w:val="0044092C"/>
    <w:rsid w:val="00440B6E"/>
    <w:rsid w:val="00440C6E"/>
    <w:rsid w:val="00440CA6"/>
    <w:rsid w:val="004410F0"/>
    <w:rsid w:val="004413A9"/>
    <w:rsid w:val="00441414"/>
    <w:rsid w:val="00441608"/>
    <w:rsid w:val="0044166C"/>
    <w:rsid w:val="00441920"/>
    <w:rsid w:val="0044195B"/>
    <w:rsid w:val="004419E9"/>
    <w:rsid w:val="00441BA6"/>
    <w:rsid w:val="00441ECD"/>
    <w:rsid w:val="00442174"/>
    <w:rsid w:val="00442232"/>
    <w:rsid w:val="0044229F"/>
    <w:rsid w:val="004424A3"/>
    <w:rsid w:val="00442690"/>
    <w:rsid w:val="00442909"/>
    <w:rsid w:val="00442D8E"/>
    <w:rsid w:val="0044310C"/>
    <w:rsid w:val="004431CA"/>
    <w:rsid w:val="00443247"/>
    <w:rsid w:val="004434BF"/>
    <w:rsid w:val="004435DA"/>
    <w:rsid w:val="00443735"/>
    <w:rsid w:val="004437B1"/>
    <w:rsid w:val="00443A8C"/>
    <w:rsid w:val="00443B1A"/>
    <w:rsid w:val="00443B58"/>
    <w:rsid w:val="00443B65"/>
    <w:rsid w:val="00443D26"/>
    <w:rsid w:val="00443DAB"/>
    <w:rsid w:val="00443DDF"/>
    <w:rsid w:val="00444044"/>
    <w:rsid w:val="00444117"/>
    <w:rsid w:val="0044434F"/>
    <w:rsid w:val="00444391"/>
    <w:rsid w:val="00444910"/>
    <w:rsid w:val="00444927"/>
    <w:rsid w:val="004449B8"/>
    <w:rsid w:val="00444BE5"/>
    <w:rsid w:val="00444CE5"/>
    <w:rsid w:val="00444CE6"/>
    <w:rsid w:val="00444F8C"/>
    <w:rsid w:val="00445033"/>
    <w:rsid w:val="004451E3"/>
    <w:rsid w:val="0044523A"/>
    <w:rsid w:val="004452A0"/>
    <w:rsid w:val="0044534D"/>
    <w:rsid w:val="00445392"/>
    <w:rsid w:val="004454D8"/>
    <w:rsid w:val="0044553E"/>
    <w:rsid w:val="0044554F"/>
    <w:rsid w:val="004456DD"/>
    <w:rsid w:val="00445995"/>
    <w:rsid w:val="00445BC2"/>
    <w:rsid w:val="00445DB7"/>
    <w:rsid w:val="00445FC2"/>
    <w:rsid w:val="004464A5"/>
    <w:rsid w:val="0044673C"/>
    <w:rsid w:val="00446850"/>
    <w:rsid w:val="00446BD7"/>
    <w:rsid w:val="00446C8E"/>
    <w:rsid w:val="00446CE4"/>
    <w:rsid w:val="00446E30"/>
    <w:rsid w:val="00446E87"/>
    <w:rsid w:val="00446F1F"/>
    <w:rsid w:val="004470B6"/>
    <w:rsid w:val="004473B3"/>
    <w:rsid w:val="004475AE"/>
    <w:rsid w:val="004475B7"/>
    <w:rsid w:val="004475EB"/>
    <w:rsid w:val="004476CF"/>
    <w:rsid w:val="004477F6"/>
    <w:rsid w:val="00447AAC"/>
    <w:rsid w:val="00447B81"/>
    <w:rsid w:val="00447C14"/>
    <w:rsid w:val="00447CC0"/>
    <w:rsid w:val="00447D6E"/>
    <w:rsid w:val="00447DB3"/>
    <w:rsid w:val="0045015F"/>
    <w:rsid w:val="0045019B"/>
    <w:rsid w:val="0045046F"/>
    <w:rsid w:val="0045059B"/>
    <w:rsid w:val="0045087B"/>
    <w:rsid w:val="004508C6"/>
    <w:rsid w:val="00450D7C"/>
    <w:rsid w:val="00450D9D"/>
    <w:rsid w:val="00450F6F"/>
    <w:rsid w:val="00451057"/>
    <w:rsid w:val="004510BB"/>
    <w:rsid w:val="00451105"/>
    <w:rsid w:val="0045130D"/>
    <w:rsid w:val="00451354"/>
    <w:rsid w:val="00451356"/>
    <w:rsid w:val="00451417"/>
    <w:rsid w:val="004516B1"/>
    <w:rsid w:val="00451718"/>
    <w:rsid w:val="004517BC"/>
    <w:rsid w:val="00451B2E"/>
    <w:rsid w:val="00451F05"/>
    <w:rsid w:val="00451FDE"/>
    <w:rsid w:val="0045246F"/>
    <w:rsid w:val="004527A7"/>
    <w:rsid w:val="00452A1E"/>
    <w:rsid w:val="00452AB8"/>
    <w:rsid w:val="00452BFC"/>
    <w:rsid w:val="0045313F"/>
    <w:rsid w:val="004531DB"/>
    <w:rsid w:val="004535CB"/>
    <w:rsid w:val="00453780"/>
    <w:rsid w:val="00453876"/>
    <w:rsid w:val="00453B39"/>
    <w:rsid w:val="00453C09"/>
    <w:rsid w:val="00453D04"/>
    <w:rsid w:val="00453D35"/>
    <w:rsid w:val="00453DE9"/>
    <w:rsid w:val="0045402E"/>
    <w:rsid w:val="00454159"/>
    <w:rsid w:val="00454176"/>
    <w:rsid w:val="0045417F"/>
    <w:rsid w:val="00454194"/>
    <w:rsid w:val="004541C2"/>
    <w:rsid w:val="004544EC"/>
    <w:rsid w:val="00454523"/>
    <w:rsid w:val="004545F5"/>
    <w:rsid w:val="00454606"/>
    <w:rsid w:val="004548C3"/>
    <w:rsid w:val="00454961"/>
    <w:rsid w:val="00454A06"/>
    <w:rsid w:val="00454DD5"/>
    <w:rsid w:val="004550AB"/>
    <w:rsid w:val="00455474"/>
    <w:rsid w:val="004554DD"/>
    <w:rsid w:val="00455591"/>
    <w:rsid w:val="004558B1"/>
    <w:rsid w:val="00455940"/>
    <w:rsid w:val="00455B00"/>
    <w:rsid w:val="00455BEC"/>
    <w:rsid w:val="00455C5C"/>
    <w:rsid w:val="00455CBF"/>
    <w:rsid w:val="00455CFB"/>
    <w:rsid w:val="00455E8D"/>
    <w:rsid w:val="00455E97"/>
    <w:rsid w:val="00456015"/>
    <w:rsid w:val="00456174"/>
    <w:rsid w:val="00456179"/>
    <w:rsid w:val="00456339"/>
    <w:rsid w:val="00456471"/>
    <w:rsid w:val="004564AF"/>
    <w:rsid w:val="00456533"/>
    <w:rsid w:val="004566D8"/>
    <w:rsid w:val="004568A6"/>
    <w:rsid w:val="00456985"/>
    <w:rsid w:val="00456A67"/>
    <w:rsid w:val="00456A8A"/>
    <w:rsid w:val="00456A98"/>
    <w:rsid w:val="00456BED"/>
    <w:rsid w:val="00456C4C"/>
    <w:rsid w:val="00456D57"/>
    <w:rsid w:val="00456F17"/>
    <w:rsid w:val="0045724D"/>
    <w:rsid w:val="00457411"/>
    <w:rsid w:val="0045745F"/>
    <w:rsid w:val="00457498"/>
    <w:rsid w:val="0045750B"/>
    <w:rsid w:val="00457779"/>
    <w:rsid w:val="004577F8"/>
    <w:rsid w:val="00457A01"/>
    <w:rsid w:val="00457B21"/>
    <w:rsid w:val="00457CB7"/>
    <w:rsid w:val="00457DB3"/>
    <w:rsid w:val="00457E1C"/>
    <w:rsid w:val="00457E64"/>
    <w:rsid w:val="00457FDF"/>
    <w:rsid w:val="004600B3"/>
    <w:rsid w:val="00460198"/>
    <w:rsid w:val="004601CB"/>
    <w:rsid w:val="00460273"/>
    <w:rsid w:val="004602B2"/>
    <w:rsid w:val="00460412"/>
    <w:rsid w:val="00460AF7"/>
    <w:rsid w:val="00460B63"/>
    <w:rsid w:val="00460B92"/>
    <w:rsid w:val="00460CEF"/>
    <w:rsid w:val="0046108C"/>
    <w:rsid w:val="004611D7"/>
    <w:rsid w:val="004616CC"/>
    <w:rsid w:val="00461870"/>
    <w:rsid w:val="00461949"/>
    <w:rsid w:val="00461A54"/>
    <w:rsid w:val="00461B15"/>
    <w:rsid w:val="00461C13"/>
    <w:rsid w:val="00461D37"/>
    <w:rsid w:val="00461FDA"/>
    <w:rsid w:val="00462059"/>
    <w:rsid w:val="0046215E"/>
    <w:rsid w:val="00462192"/>
    <w:rsid w:val="004622ED"/>
    <w:rsid w:val="004624AB"/>
    <w:rsid w:val="00462771"/>
    <w:rsid w:val="004627B2"/>
    <w:rsid w:val="00462857"/>
    <w:rsid w:val="0046285D"/>
    <w:rsid w:val="004629DA"/>
    <w:rsid w:val="00462B3C"/>
    <w:rsid w:val="00462EDD"/>
    <w:rsid w:val="00463051"/>
    <w:rsid w:val="0046307B"/>
    <w:rsid w:val="00463154"/>
    <w:rsid w:val="00463193"/>
    <w:rsid w:val="004635D6"/>
    <w:rsid w:val="0046369C"/>
    <w:rsid w:val="00463797"/>
    <w:rsid w:val="004637F9"/>
    <w:rsid w:val="00463DE4"/>
    <w:rsid w:val="00463E82"/>
    <w:rsid w:val="00463F34"/>
    <w:rsid w:val="004640A4"/>
    <w:rsid w:val="00464217"/>
    <w:rsid w:val="00464255"/>
    <w:rsid w:val="004642F0"/>
    <w:rsid w:val="00464352"/>
    <w:rsid w:val="0046472B"/>
    <w:rsid w:val="00464791"/>
    <w:rsid w:val="004647D5"/>
    <w:rsid w:val="00464803"/>
    <w:rsid w:val="0046480F"/>
    <w:rsid w:val="004648E3"/>
    <w:rsid w:val="00464A07"/>
    <w:rsid w:val="00464D7E"/>
    <w:rsid w:val="00465135"/>
    <w:rsid w:val="00465225"/>
    <w:rsid w:val="00465317"/>
    <w:rsid w:val="0046565B"/>
    <w:rsid w:val="0046593B"/>
    <w:rsid w:val="004659B1"/>
    <w:rsid w:val="00465AAD"/>
    <w:rsid w:val="00465B09"/>
    <w:rsid w:val="00465C9D"/>
    <w:rsid w:val="00465E10"/>
    <w:rsid w:val="004663E0"/>
    <w:rsid w:val="0046653E"/>
    <w:rsid w:val="00466712"/>
    <w:rsid w:val="0046678C"/>
    <w:rsid w:val="00466B15"/>
    <w:rsid w:val="00466C43"/>
    <w:rsid w:val="00466E56"/>
    <w:rsid w:val="00467005"/>
    <w:rsid w:val="004674BC"/>
    <w:rsid w:val="004675C7"/>
    <w:rsid w:val="00467788"/>
    <w:rsid w:val="00467ADA"/>
    <w:rsid w:val="00467D1B"/>
    <w:rsid w:val="00467F7D"/>
    <w:rsid w:val="0047008D"/>
    <w:rsid w:val="004700BB"/>
    <w:rsid w:val="004703FF"/>
    <w:rsid w:val="0047045D"/>
    <w:rsid w:val="00470498"/>
    <w:rsid w:val="00470D01"/>
    <w:rsid w:val="004710F5"/>
    <w:rsid w:val="004712CC"/>
    <w:rsid w:val="00471328"/>
    <w:rsid w:val="00471380"/>
    <w:rsid w:val="00471493"/>
    <w:rsid w:val="004719F3"/>
    <w:rsid w:val="00471C32"/>
    <w:rsid w:val="00471D2F"/>
    <w:rsid w:val="00471EA2"/>
    <w:rsid w:val="00471F9F"/>
    <w:rsid w:val="004720BB"/>
    <w:rsid w:val="0047222C"/>
    <w:rsid w:val="0047262B"/>
    <w:rsid w:val="004726EE"/>
    <w:rsid w:val="0047280E"/>
    <w:rsid w:val="0047298B"/>
    <w:rsid w:val="00472C41"/>
    <w:rsid w:val="00472C9F"/>
    <w:rsid w:val="00472CC2"/>
    <w:rsid w:val="00472D47"/>
    <w:rsid w:val="00472F5C"/>
    <w:rsid w:val="0047302D"/>
    <w:rsid w:val="004730C1"/>
    <w:rsid w:val="004736F7"/>
    <w:rsid w:val="00473752"/>
    <w:rsid w:val="0047379B"/>
    <w:rsid w:val="004738B9"/>
    <w:rsid w:val="00473CA7"/>
    <w:rsid w:val="00473DDB"/>
    <w:rsid w:val="00473E2A"/>
    <w:rsid w:val="00473E2B"/>
    <w:rsid w:val="00473EB8"/>
    <w:rsid w:val="0047412C"/>
    <w:rsid w:val="004741B8"/>
    <w:rsid w:val="00474214"/>
    <w:rsid w:val="0047421C"/>
    <w:rsid w:val="00474606"/>
    <w:rsid w:val="0047468E"/>
    <w:rsid w:val="00474CE6"/>
    <w:rsid w:val="00474CFF"/>
    <w:rsid w:val="00474D40"/>
    <w:rsid w:val="00474E04"/>
    <w:rsid w:val="00474E30"/>
    <w:rsid w:val="00474E60"/>
    <w:rsid w:val="00474FAD"/>
    <w:rsid w:val="00475221"/>
    <w:rsid w:val="00475275"/>
    <w:rsid w:val="00475292"/>
    <w:rsid w:val="00475476"/>
    <w:rsid w:val="0047579A"/>
    <w:rsid w:val="004757BA"/>
    <w:rsid w:val="00475850"/>
    <w:rsid w:val="00475F6F"/>
    <w:rsid w:val="0047617F"/>
    <w:rsid w:val="004762DE"/>
    <w:rsid w:val="004764CF"/>
    <w:rsid w:val="00476739"/>
    <w:rsid w:val="0047676B"/>
    <w:rsid w:val="004767D7"/>
    <w:rsid w:val="00476BFF"/>
    <w:rsid w:val="00476DDB"/>
    <w:rsid w:val="00476F8D"/>
    <w:rsid w:val="004770CB"/>
    <w:rsid w:val="004771AF"/>
    <w:rsid w:val="00477347"/>
    <w:rsid w:val="0047765F"/>
    <w:rsid w:val="004777FC"/>
    <w:rsid w:val="00477807"/>
    <w:rsid w:val="0047783D"/>
    <w:rsid w:val="004778A7"/>
    <w:rsid w:val="0047796B"/>
    <w:rsid w:val="00477B0F"/>
    <w:rsid w:val="00477D05"/>
    <w:rsid w:val="00477D2B"/>
    <w:rsid w:val="00477E89"/>
    <w:rsid w:val="00477EB6"/>
    <w:rsid w:val="00477F93"/>
    <w:rsid w:val="00480238"/>
    <w:rsid w:val="004802CF"/>
    <w:rsid w:val="004802D9"/>
    <w:rsid w:val="004802F3"/>
    <w:rsid w:val="004803A0"/>
    <w:rsid w:val="0048048B"/>
    <w:rsid w:val="004809AD"/>
    <w:rsid w:val="00480AE8"/>
    <w:rsid w:val="00480B77"/>
    <w:rsid w:val="00480BA1"/>
    <w:rsid w:val="00480D1F"/>
    <w:rsid w:val="00480DF8"/>
    <w:rsid w:val="00480FEB"/>
    <w:rsid w:val="004811E7"/>
    <w:rsid w:val="004815B0"/>
    <w:rsid w:val="0048187E"/>
    <w:rsid w:val="00481999"/>
    <w:rsid w:val="004819F4"/>
    <w:rsid w:val="00481A8A"/>
    <w:rsid w:val="00481AD6"/>
    <w:rsid w:val="00481FDD"/>
    <w:rsid w:val="00482082"/>
    <w:rsid w:val="0048208A"/>
    <w:rsid w:val="00482107"/>
    <w:rsid w:val="0048231D"/>
    <w:rsid w:val="0048244A"/>
    <w:rsid w:val="004826B4"/>
    <w:rsid w:val="004826BE"/>
    <w:rsid w:val="00482804"/>
    <w:rsid w:val="0048282F"/>
    <w:rsid w:val="00482A3B"/>
    <w:rsid w:val="00482A4D"/>
    <w:rsid w:val="00482C97"/>
    <w:rsid w:val="00482D37"/>
    <w:rsid w:val="00482E93"/>
    <w:rsid w:val="00482EA0"/>
    <w:rsid w:val="00482F32"/>
    <w:rsid w:val="004830D1"/>
    <w:rsid w:val="00483122"/>
    <w:rsid w:val="0048318A"/>
    <w:rsid w:val="004833D2"/>
    <w:rsid w:val="00483496"/>
    <w:rsid w:val="004834D7"/>
    <w:rsid w:val="00483791"/>
    <w:rsid w:val="00483A6A"/>
    <w:rsid w:val="00483AAB"/>
    <w:rsid w:val="00483AB2"/>
    <w:rsid w:val="00483B5C"/>
    <w:rsid w:val="00483CF5"/>
    <w:rsid w:val="00483E26"/>
    <w:rsid w:val="00483E65"/>
    <w:rsid w:val="004841F1"/>
    <w:rsid w:val="00484392"/>
    <w:rsid w:val="004843FD"/>
    <w:rsid w:val="004847D1"/>
    <w:rsid w:val="00484878"/>
    <w:rsid w:val="00484A26"/>
    <w:rsid w:val="00484B84"/>
    <w:rsid w:val="00484E3B"/>
    <w:rsid w:val="00484EAE"/>
    <w:rsid w:val="0048521C"/>
    <w:rsid w:val="00485232"/>
    <w:rsid w:val="0048524F"/>
    <w:rsid w:val="0048547F"/>
    <w:rsid w:val="00485521"/>
    <w:rsid w:val="0048554B"/>
    <w:rsid w:val="00485677"/>
    <w:rsid w:val="004857EE"/>
    <w:rsid w:val="0048585C"/>
    <w:rsid w:val="004859CC"/>
    <w:rsid w:val="00485B9D"/>
    <w:rsid w:val="00485DEC"/>
    <w:rsid w:val="00486154"/>
    <w:rsid w:val="004861CA"/>
    <w:rsid w:val="00486204"/>
    <w:rsid w:val="004862B8"/>
    <w:rsid w:val="004862ED"/>
    <w:rsid w:val="00486413"/>
    <w:rsid w:val="00486421"/>
    <w:rsid w:val="0048643E"/>
    <w:rsid w:val="0048668B"/>
    <w:rsid w:val="0048684B"/>
    <w:rsid w:val="00486862"/>
    <w:rsid w:val="00486D38"/>
    <w:rsid w:val="00486D6F"/>
    <w:rsid w:val="00487164"/>
    <w:rsid w:val="004873A1"/>
    <w:rsid w:val="004873DF"/>
    <w:rsid w:val="00487608"/>
    <w:rsid w:val="00487705"/>
    <w:rsid w:val="004877CB"/>
    <w:rsid w:val="00487A53"/>
    <w:rsid w:val="00487C0C"/>
    <w:rsid w:val="00487C83"/>
    <w:rsid w:val="00487FBB"/>
    <w:rsid w:val="004901B9"/>
    <w:rsid w:val="004902A2"/>
    <w:rsid w:val="00490793"/>
    <w:rsid w:val="0049079E"/>
    <w:rsid w:val="004908D7"/>
    <w:rsid w:val="0049099B"/>
    <w:rsid w:val="00490A61"/>
    <w:rsid w:val="00490FDF"/>
    <w:rsid w:val="00491093"/>
    <w:rsid w:val="00491099"/>
    <w:rsid w:val="00491136"/>
    <w:rsid w:val="004911EA"/>
    <w:rsid w:val="00491289"/>
    <w:rsid w:val="0049165C"/>
    <w:rsid w:val="004917A1"/>
    <w:rsid w:val="004918AA"/>
    <w:rsid w:val="004919E2"/>
    <w:rsid w:val="00491AC0"/>
    <w:rsid w:val="00491AD8"/>
    <w:rsid w:val="00491B86"/>
    <w:rsid w:val="00491CB5"/>
    <w:rsid w:val="00492148"/>
    <w:rsid w:val="004921F7"/>
    <w:rsid w:val="0049228D"/>
    <w:rsid w:val="004926E5"/>
    <w:rsid w:val="00492811"/>
    <w:rsid w:val="0049282A"/>
    <w:rsid w:val="004929EE"/>
    <w:rsid w:val="00492C5C"/>
    <w:rsid w:val="00492C9F"/>
    <w:rsid w:val="00492EC8"/>
    <w:rsid w:val="00493043"/>
    <w:rsid w:val="004930DD"/>
    <w:rsid w:val="00493678"/>
    <w:rsid w:val="004939BE"/>
    <w:rsid w:val="00493A05"/>
    <w:rsid w:val="00493D4B"/>
    <w:rsid w:val="00494120"/>
    <w:rsid w:val="00494261"/>
    <w:rsid w:val="0049427A"/>
    <w:rsid w:val="00494304"/>
    <w:rsid w:val="00494550"/>
    <w:rsid w:val="00494557"/>
    <w:rsid w:val="004946A6"/>
    <w:rsid w:val="00494A28"/>
    <w:rsid w:val="00494A62"/>
    <w:rsid w:val="00494D37"/>
    <w:rsid w:val="00494D83"/>
    <w:rsid w:val="00494E0A"/>
    <w:rsid w:val="00494E48"/>
    <w:rsid w:val="00494EB7"/>
    <w:rsid w:val="00495146"/>
    <w:rsid w:val="00495303"/>
    <w:rsid w:val="00495564"/>
    <w:rsid w:val="00495717"/>
    <w:rsid w:val="004958BA"/>
    <w:rsid w:val="00495C68"/>
    <w:rsid w:val="00495C79"/>
    <w:rsid w:val="00495F6B"/>
    <w:rsid w:val="00495FE7"/>
    <w:rsid w:val="00496070"/>
    <w:rsid w:val="00496219"/>
    <w:rsid w:val="004962AD"/>
    <w:rsid w:val="004963E0"/>
    <w:rsid w:val="00496419"/>
    <w:rsid w:val="004964ED"/>
    <w:rsid w:val="00496634"/>
    <w:rsid w:val="004967B1"/>
    <w:rsid w:val="00496942"/>
    <w:rsid w:val="00496B9A"/>
    <w:rsid w:val="00496B9B"/>
    <w:rsid w:val="00496C2D"/>
    <w:rsid w:val="00496D63"/>
    <w:rsid w:val="00496FA0"/>
    <w:rsid w:val="00497113"/>
    <w:rsid w:val="004973D7"/>
    <w:rsid w:val="0049748F"/>
    <w:rsid w:val="00497498"/>
    <w:rsid w:val="0049750E"/>
    <w:rsid w:val="0049780F"/>
    <w:rsid w:val="00497B27"/>
    <w:rsid w:val="00497E20"/>
    <w:rsid w:val="00497F73"/>
    <w:rsid w:val="004A0003"/>
    <w:rsid w:val="004A0025"/>
    <w:rsid w:val="004A01B9"/>
    <w:rsid w:val="004A01F5"/>
    <w:rsid w:val="004A023F"/>
    <w:rsid w:val="004A02B3"/>
    <w:rsid w:val="004A0559"/>
    <w:rsid w:val="004A0908"/>
    <w:rsid w:val="004A092C"/>
    <w:rsid w:val="004A0984"/>
    <w:rsid w:val="004A0AB7"/>
    <w:rsid w:val="004A0B55"/>
    <w:rsid w:val="004A0C47"/>
    <w:rsid w:val="004A0C63"/>
    <w:rsid w:val="004A1047"/>
    <w:rsid w:val="004A126B"/>
    <w:rsid w:val="004A13D4"/>
    <w:rsid w:val="004A196B"/>
    <w:rsid w:val="004A19A9"/>
    <w:rsid w:val="004A1B66"/>
    <w:rsid w:val="004A1E39"/>
    <w:rsid w:val="004A21A6"/>
    <w:rsid w:val="004A21C2"/>
    <w:rsid w:val="004A2215"/>
    <w:rsid w:val="004A2227"/>
    <w:rsid w:val="004A2347"/>
    <w:rsid w:val="004A236C"/>
    <w:rsid w:val="004A239D"/>
    <w:rsid w:val="004A23B3"/>
    <w:rsid w:val="004A2425"/>
    <w:rsid w:val="004A24C5"/>
    <w:rsid w:val="004A26C7"/>
    <w:rsid w:val="004A2716"/>
    <w:rsid w:val="004A29B0"/>
    <w:rsid w:val="004A2B04"/>
    <w:rsid w:val="004A2B0F"/>
    <w:rsid w:val="004A2C6F"/>
    <w:rsid w:val="004A2F95"/>
    <w:rsid w:val="004A30BB"/>
    <w:rsid w:val="004A31F4"/>
    <w:rsid w:val="004A332A"/>
    <w:rsid w:val="004A34C3"/>
    <w:rsid w:val="004A37C2"/>
    <w:rsid w:val="004A39EA"/>
    <w:rsid w:val="004A3B68"/>
    <w:rsid w:val="004A3CB4"/>
    <w:rsid w:val="004A3DC4"/>
    <w:rsid w:val="004A3E76"/>
    <w:rsid w:val="004A448A"/>
    <w:rsid w:val="004A4A54"/>
    <w:rsid w:val="004A4A6A"/>
    <w:rsid w:val="004A4C38"/>
    <w:rsid w:val="004A4D66"/>
    <w:rsid w:val="004A4FA4"/>
    <w:rsid w:val="004A4FE5"/>
    <w:rsid w:val="004A561B"/>
    <w:rsid w:val="004A5754"/>
    <w:rsid w:val="004A5793"/>
    <w:rsid w:val="004A57F1"/>
    <w:rsid w:val="004A584E"/>
    <w:rsid w:val="004A5A41"/>
    <w:rsid w:val="004A5A5D"/>
    <w:rsid w:val="004A5BA5"/>
    <w:rsid w:val="004A5D63"/>
    <w:rsid w:val="004A5D73"/>
    <w:rsid w:val="004A5DF6"/>
    <w:rsid w:val="004A5FA9"/>
    <w:rsid w:val="004A623A"/>
    <w:rsid w:val="004A63C6"/>
    <w:rsid w:val="004A63E8"/>
    <w:rsid w:val="004A6554"/>
    <w:rsid w:val="004A662B"/>
    <w:rsid w:val="004A66F5"/>
    <w:rsid w:val="004A670F"/>
    <w:rsid w:val="004A6987"/>
    <w:rsid w:val="004A6B04"/>
    <w:rsid w:val="004A6F6B"/>
    <w:rsid w:val="004A6F71"/>
    <w:rsid w:val="004A717B"/>
    <w:rsid w:val="004A7350"/>
    <w:rsid w:val="004A7369"/>
    <w:rsid w:val="004A742C"/>
    <w:rsid w:val="004A79D0"/>
    <w:rsid w:val="004A7B0A"/>
    <w:rsid w:val="004A7BD2"/>
    <w:rsid w:val="004A7CC1"/>
    <w:rsid w:val="004A7DB1"/>
    <w:rsid w:val="004A7E38"/>
    <w:rsid w:val="004A7EF8"/>
    <w:rsid w:val="004B0140"/>
    <w:rsid w:val="004B0399"/>
    <w:rsid w:val="004B08DA"/>
    <w:rsid w:val="004B0976"/>
    <w:rsid w:val="004B0BE2"/>
    <w:rsid w:val="004B0C00"/>
    <w:rsid w:val="004B0C83"/>
    <w:rsid w:val="004B0C85"/>
    <w:rsid w:val="004B0CF5"/>
    <w:rsid w:val="004B0D1D"/>
    <w:rsid w:val="004B0FDA"/>
    <w:rsid w:val="004B0FFF"/>
    <w:rsid w:val="004B11BF"/>
    <w:rsid w:val="004B1A65"/>
    <w:rsid w:val="004B1E90"/>
    <w:rsid w:val="004B1F02"/>
    <w:rsid w:val="004B1F68"/>
    <w:rsid w:val="004B201E"/>
    <w:rsid w:val="004B20A5"/>
    <w:rsid w:val="004B21F6"/>
    <w:rsid w:val="004B24DC"/>
    <w:rsid w:val="004B24FC"/>
    <w:rsid w:val="004B2528"/>
    <w:rsid w:val="004B25F8"/>
    <w:rsid w:val="004B26D4"/>
    <w:rsid w:val="004B2B00"/>
    <w:rsid w:val="004B2BF0"/>
    <w:rsid w:val="004B2C20"/>
    <w:rsid w:val="004B2C8F"/>
    <w:rsid w:val="004B2D55"/>
    <w:rsid w:val="004B2FEE"/>
    <w:rsid w:val="004B3261"/>
    <w:rsid w:val="004B329C"/>
    <w:rsid w:val="004B32B2"/>
    <w:rsid w:val="004B3337"/>
    <w:rsid w:val="004B3394"/>
    <w:rsid w:val="004B33B6"/>
    <w:rsid w:val="004B33F9"/>
    <w:rsid w:val="004B364B"/>
    <w:rsid w:val="004B369C"/>
    <w:rsid w:val="004B3746"/>
    <w:rsid w:val="004B3AA2"/>
    <w:rsid w:val="004B3D42"/>
    <w:rsid w:val="004B3DA0"/>
    <w:rsid w:val="004B4065"/>
    <w:rsid w:val="004B4200"/>
    <w:rsid w:val="004B4315"/>
    <w:rsid w:val="004B4477"/>
    <w:rsid w:val="004B45F2"/>
    <w:rsid w:val="004B462E"/>
    <w:rsid w:val="004B4654"/>
    <w:rsid w:val="004B4AFD"/>
    <w:rsid w:val="004B501C"/>
    <w:rsid w:val="004B5108"/>
    <w:rsid w:val="004B5249"/>
    <w:rsid w:val="004B5273"/>
    <w:rsid w:val="004B56D0"/>
    <w:rsid w:val="004B57B5"/>
    <w:rsid w:val="004B581C"/>
    <w:rsid w:val="004B5960"/>
    <w:rsid w:val="004B596D"/>
    <w:rsid w:val="004B5C4C"/>
    <w:rsid w:val="004B5DFB"/>
    <w:rsid w:val="004B5E1D"/>
    <w:rsid w:val="004B5E70"/>
    <w:rsid w:val="004B5F71"/>
    <w:rsid w:val="004B6323"/>
    <w:rsid w:val="004B654E"/>
    <w:rsid w:val="004B66E3"/>
    <w:rsid w:val="004B69EC"/>
    <w:rsid w:val="004B6E89"/>
    <w:rsid w:val="004B7096"/>
    <w:rsid w:val="004B72A3"/>
    <w:rsid w:val="004B73D6"/>
    <w:rsid w:val="004B7489"/>
    <w:rsid w:val="004B772A"/>
    <w:rsid w:val="004B7763"/>
    <w:rsid w:val="004B7840"/>
    <w:rsid w:val="004B7FB7"/>
    <w:rsid w:val="004C042A"/>
    <w:rsid w:val="004C045D"/>
    <w:rsid w:val="004C056F"/>
    <w:rsid w:val="004C0700"/>
    <w:rsid w:val="004C099B"/>
    <w:rsid w:val="004C0B3F"/>
    <w:rsid w:val="004C0C63"/>
    <w:rsid w:val="004C0C9A"/>
    <w:rsid w:val="004C11B4"/>
    <w:rsid w:val="004C11EE"/>
    <w:rsid w:val="004C129B"/>
    <w:rsid w:val="004C1396"/>
    <w:rsid w:val="004C1404"/>
    <w:rsid w:val="004C140B"/>
    <w:rsid w:val="004C143F"/>
    <w:rsid w:val="004C1575"/>
    <w:rsid w:val="004C15BE"/>
    <w:rsid w:val="004C15CF"/>
    <w:rsid w:val="004C16F5"/>
    <w:rsid w:val="004C170D"/>
    <w:rsid w:val="004C175C"/>
    <w:rsid w:val="004C1B21"/>
    <w:rsid w:val="004C1C7B"/>
    <w:rsid w:val="004C2056"/>
    <w:rsid w:val="004C21CE"/>
    <w:rsid w:val="004C250F"/>
    <w:rsid w:val="004C25EA"/>
    <w:rsid w:val="004C2606"/>
    <w:rsid w:val="004C28D8"/>
    <w:rsid w:val="004C2969"/>
    <w:rsid w:val="004C2A12"/>
    <w:rsid w:val="004C2C5F"/>
    <w:rsid w:val="004C2C9D"/>
    <w:rsid w:val="004C300E"/>
    <w:rsid w:val="004C30C8"/>
    <w:rsid w:val="004C313F"/>
    <w:rsid w:val="004C3202"/>
    <w:rsid w:val="004C322B"/>
    <w:rsid w:val="004C3256"/>
    <w:rsid w:val="004C3301"/>
    <w:rsid w:val="004C34D1"/>
    <w:rsid w:val="004C3541"/>
    <w:rsid w:val="004C3585"/>
    <w:rsid w:val="004C3676"/>
    <w:rsid w:val="004C37C9"/>
    <w:rsid w:val="004C387F"/>
    <w:rsid w:val="004C395D"/>
    <w:rsid w:val="004C3A84"/>
    <w:rsid w:val="004C3C83"/>
    <w:rsid w:val="004C3D1A"/>
    <w:rsid w:val="004C3EEE"/>
    <w:rsid w:val="004C3F4D"/>
    <w:rsid w:val="004C404E"/>
    <w:rsid w:val="004C413D"/>
    <w:rsid w:val="004C43A0"/>
    <w:rsid w:val="004C44A5"/>
    <w:rsid w:val="004C44FF"/>
    <w:rsid w:val="004C480A"/>
    <w:rsid w:val="004C4BEC"/>
    <w:rsid w:val="004C4CD7"/>
    <w:rsid w:val="004C4D1F"/>
    <w:rsid w:val="004C5189"/>
    <w:rsid w:val="004C531F"/>
    <w:rsid w:val="004C534B"/>
    <w:rsid w:val="004C568D"/>
    <w:rsid w:val="004C583F"/>
    <w:rsid w:val="004C5864"/>
    <w:rsid w:val="004C5903"/>
    <w:rsid w:val="004C5AFF"/>
    <w:rsid w:val="004C5C8E"/>
    <w:rsid w:val="004C5FCF"/>
    <w:rsid w:val="004C6208"/>
    <w:rsid w:val="004C622D"/>
    <w:rsid w:val="004C62D7"/>
    <w:rsid w:val="004C65A0"/>
    <w:rsid w:val="004C65F0"/>
    <w:rsid w:val="004C6A7D"/>
    <w:rsid w:val="004C6B8D"/>
    <w:rsid w:val="004C6B9B"/>
    <w:rsid w:val="004C6C2C"/>
    <w:rsid w:val="004C70DE"/>
    <w:rsid w:val="004C713B"/>
    <w:rsid w:val="004C71F8"/>
    <w:rsid w:val="004C726E"/>
    <w:rsid w:val="004C73CE"/>
    <w:rsid w:val="004C7622"/>
    <w:rsid w:val="004C7815"/>
    <w:rsid w:val="004C789D"/>
    <w:rsid w:val="004C7A25"/>
    <w:rsid w:val="004C7AFD"/>
    <w:rsid w:val="004C7C05"/>
    <w:rsid w:val="004C7D85"/>
    <w:rsid w:val="004C7F95"/>
    <w:rsid w:val="004C7FB7"/>
    <w:rsid w:val="004D013B"/>
    <w:rsid w:val="004D02B0"/>
    <w:rsid w:val="004D065E"/>
    <w:rsid w:val="004D0907"/>
    <w:rsid w:val="004D090B"/>
    <w:rsid w:val="004D098D"/>
    <w:rsid w:val="004D0C06"/>
    <w:rsid w:val="004D0E7C"/>
    <w:rsid w:val="004D1060"/>
    <w:rsid w:val="004D142F"/>
    <w:rsid w:val="004D18E7"/>
    <w:rsid w:val="004D1A49"/>
    <w:rsid w:val="004D1AC9"/>
    <w:rsid w:val="004D1B68"/>
    <w:rsid w:val="004D1BFA"/>
    <w:rsid w:val="004D1C58"/>
    <w:rsid w:val="004D1D16"/>
    <w:rsid w:val="004D1D34"/>
    <w:rsid w:val="004D1DAE"/>
    <w:rsid w:val="004D1DE5"/>
    <w:rsid w:val="004D1F81"/>
    <w:rsid w:val="004D201E"/>
    <w:rsid w:val="004D22D6"/>
    <w:rsid w:val="004D2343"/>
    <w:rsid w:val="004D23BE"/>
    <w:rsid w:val="004D27B9"/>
    <w:rsid w:val="004D2C6E"/>
    <w:rsid w:val="004D2CC8"/>
    <w:rsid w:val="004D2F45"/>
    <w:rsid w:val="004D3077"/>
    <w:rsid w:val="004D30D6"/>
    <w:rsid w:val="004D3123"/>
    <w:rsid w:val="004D316D"/>
    <w:rsid w:val="004D31A1"/>
    <w:rsid w:val="004D3225"/>
    <w:rsid w:val="004D35A6"/>
    <w:rsid w:val="004D3AE4"/>
    <w:rsid w:val="004D3C00"/>
    <w:rsid w:val="004D3C15"/>
    <w:rsid w:val="004D3DCF"/>
    <w:rsid w:val="004D3DF8"/>
    <w:rsid w:val="004D414D"/>
    <w:rsid w:val="004D429B"/>
    <w:rsid w:val="004D4356"/>
    <w:rsid w:val="004D43A2"/>
    <w:rsid w:val="004D43EC"/>
    <w:rsid w:val="004D454E"/>
    <w:rsid w:val="004D45B5"/>
    <w:rsid w:val="004D4AC0"/>
    <w:rsid w:val="004D4B03"/>
    <w:rsid w:val="004D50C0"/>
    <w:rsid w:val="004D52B5"/>
    <w:rsid w:val="004D533E"/>
    <w:rsid w:val="004D5386"/>
    <w:rsid w:val="004D54EB"/>
    <w:rsid w:val="004D59AA"/>
    <w:rsid w:val="004D5B1B"/>
    <w:rsid w:val="004D5BA7"/>
    <w:rsid w:val="004D5F3F"/>
    <w:rsid w:val="004D5FBD"/>
    <w:rsid w:val="004D60B1"/>
    <w:rsid w:val="004D6122"/>
    <w:rsid w:val="004D63B6"/>
    <w:rsid w:val="004D640A"/>
    <w:rsid w:val="004D645A"/>
    <w:rsid w:val="004D654A"/>
    <w:rsid w:val="004D664E"/>
    <w:rsid w:val="004D67FC"/>
    <w:rsid w:val="004D68A8"/>
    <w:rsid w:val="004D6980"/>
    <w:rsid w:val="004D6A7C"/>
    <w:rsid w:val="004D6B77"/>
    <w:rsid w:val="004D6D64"/>
    <w:rsid w:val="004D6E1C"/>
    <w:rsid w:val="004D6E4F"/>
    <w:rsid w:val="004D6FB3"/>
    <w:rsid w:val="004D6FBA"/>
    <w:rsid w:val="004D70F1"/>
    <w:rsid w:val="004D70F6"/>
    <w:rsid w:val="004D7201"/>
    <w:rsid w:val="004D7357"/>
    <w:rsid w:val="004D73FB"/>
    <w:rsid w:val="004D747C"/>
    <w:rsid w:val="004D765C"/>
    <w:rsid w:val="004D76EA"/>
    <w:rsid w:val="004D7A44"/>
    <w:rsid w:val="004D7B40"/>
    <w:rsid w:val="004D7B8F"/>
    <w:rsid w:val="004D7C76"/>
    <w:rsid w:val="004D7F1D"/>
    <w:rsid w:val="004D7F32"/>
    <w:rsid w:val="004E0160"/>
    <w:rsid w:val="004E026C"/>
    <w:rsid w:val="004E03C9"/>
    <w:rsid w:val="004E0676"/>
    <w:rsid w:val="004E0705"/>
    <w:rsid w:val="004E0748"/>
    <w:rsid w:val="004E084C"/>
    <w:rsid w:val="004E095D"/>
    <w:rsid w:val="004E0BC7"/>
    <w:rsid w:val="004E0CE5"/>
    <w:rsid w:val="004E0EAE"/>
    <w:rsid w:val="004E1065"/>
    <w:rsid w:val="004E10A4"/>
    <w:rsid w:val="004E13EB"/>
    <w:rsid w:val="004E152F"/>
    <w:rsid w:val="004E15A9"/>
    <w:rsid w:val="004E1658"/>
    <w:rsid w:val="004E1855"/>
    <w:rsid w:val="004E1B8C"/>
    <w:rsid w:val="004E1C41"/>
    <w:rsid w:val="004E1CBC"/>
    <w:rsid w:val="004E1E35"/>
    <w:rsid w:val="004E1E75"/>
    <w:rsid w:val="004E1F0C"/>
    <w:rsid w:val="004E2238"/>
    <w:rsid w:val="004E2468"/>
    <w:rsid w:val="004E25CD"/>
    <w:rsid w:val="004E2932"/>
    <w:rsid w:val="004E2AFB"/>
    <w:rsid w:val="004E2C50"/>
    <w:rsid w:val="004E2E94"/>
    <w:rsid w:val="004E2ED2"/>
    <w:rsid w:val="004E31A0"/>
    <w:rsid w:val="004E3478"/>
    <w:rsid w:val="004E3554"/>
    <w:rsid w:val="004E3670"/>
    <w:rsid w:val="004E3693"/>
    <w:rsid w:val="004E3694"/>
    <w:rsid w:val="004E3886"/>
    <w:rsid w:val="004E38D8"/>
    <w:rsid w:val="004E39DC"/>
    <w:rsid w:val="004E3A67"/>
    <w:rsid w:val="004E4311"/>
    <w:rsid w:val="004E46BC"/>
    <w:rsid w:val="004E47C8"/>
    <w:rsid w:val="004E47DA"/>
    <w:rsid w:val="004E485A"/>
    <w:rsid w:val="004E4867"/>
    <w:rsid w:val="004E487B"/>
    <w:rsid w:val="004E490A"/>
    <w:rsid w:val="004E4AD8"/>
    <w:rsid w:val="004E4CFE"/>
    <w:rsid w:val="004E4D68"/>
    <w:rsid w:val="004E4E6F"/>
    <w:rsid w:val="004E4EBD"/>
    <w:rsid w:val="004E50FC"/>
    <w:rsid w:val="004E510B"/>
    <w:rsid w:val="004E5249"/>
    <w:rsid w:val="004E55F6"/>
    <w:rsid w:val="004E5818"/>
    <w:rsid w:val="004E5BAF"/>
    <w:rsid w:val="004E5EC8"/>
    <w:rsid w:val="004E5F49"/>
    <w:rsid w:val="004E60CE"/>
    <w:rsid w:val="004E6403"/>
    <w:rsid w:val="004E6582"/>
    <w:rsid w:val="004E65C3"/>
    <w:rsid w:val="004E67B0"/>
    <w:rsid w:val="004E681C"/>
    <w:rsid w:val="004E6A3E"/>
    <w:rsid w:val="004E6DBC"/>
    <w:rsid w:val="004E6F72"/>
    <w:rsid w:val="004E7011"/>
    <w:rsid w:val="004E7144"/>
    <w:rsid w:val="004E7201"/>
    <w:rsid w:val="004E72B5"/>
    <w:rsid w:val="004E746B"/>
    <w:rsid w:val="004E747F"/>
    <w:rsid w:val="004E74B0"/>
    <w:rsid w:val="004E7526"/>
    <w:rsid w:val="004E75E9"/>
    <w:rsid w:val="004E760F"/>
    <w:rsid w:val="004E7722"/>
    <w:rsid w:val="004E78F6"/>
    <w:rsid w:val="004E78FF"/>
    <w:rsid w:val="004E7B57"/>
    <w:rsid w:val="004E7BE0"/>
    <w:rsid w:val="004E7EF2"/>
    <w:rsid w:val="004F0217"/>
    <w:rsid w:val="004F03EF"/>
    <w:rsid w:val="004F0539"/>
    <w:rsid w:val="004F0635"/>
    <w:rsid w:val="004F06F8"/>
    <w:rsid w:val="004F072A"/>
    <w:rsid w:val="004F0BDE"/>
    <w:rsid w:val="004F0C1A"/>
    <w:rsid w:val="004F0D89"/>
    <w:rsid w:val="004F0ECA"/>
    <w:rsid w:val="004F0F2E"/>
    <w:rsid w:val="004F0F42"/>
    <w:rsid w:val="004F10C4"/>
    <w:rsid w:val="004F156A"/>
    <w:rsid w:val="004F159A"/>
    <w:rsid w:val="004F1764"/>
    <w:rsid w:val="004F1B8E"/>
    <w:rsid w:val="004F1BBF"/>
    <w:rsid w:val="004F1CC4"/>
    <w:rsid w:val="004F1E79"/>
    <w:rsid w:val="004F2052"/>
    <w:rsid w:val="004F21AE"/>
    <w:rsid w:val="004F21F4"/>
    <w:rsid w:val="004F251E"/>
    <w:rsid w:val="004F253D"/>
    <w:rsid w:val="004F268F"/>
    <w:rsid w:val="004F2841"/>
    <w:rsid w:val="004F28D7"/>
    <w:rsid w:val="004F2A47"/>
    <w:rsid w:val="004F2B32"/>
    <w:rsid w:val="004F2EC6"/>
    <w:rsid w:val="004F2ED4"/>
    <w:rsid w:val="004F30A2"/>
    <w:rsid w:val="004F331B"/>
    <w:rsid w:val="004F3452"/>
    <w:rsid w:val="004F3531"/>
    <w:rsid w:val="004F362F"/>
    <w:rsid w:val="004F3912"/>
    <w:rsid w:val="004F3BD7"/>
    <w:rsid w:val="004F3BDF"/>
    <w:rsid w:val="004F3DC4"/>
    <w:rsid w:val="004F3E34"/>
    <w:rsid w:val="004F3FE1"/>
    <w:rsid w:val="004F40AD"/>
    <w:rsid w:val="004F4107"/>
    <w:rsid w:val="004F423B"/>
    <w:rsid w:val="004F4266"/>
    <w:rsid w:val="004F46E5"/>
    <w:rsid w:val="004F4766"/>
    <w:rsid w:val="004F4C84"/>
    <w:rsid w:val="004F4F0E"/>
    <w:rsid w:val="004F5264"/>
    <w:rsid w:val="004F5594"/>
    <w:rsid w:val="004F55EE"/>
    <w:rsid w:val="004F563A"/>
    <w:rsid w:val="004F5CD4"/>
    <w:rsid w:val="004F5F66"/>
    <w:rsid w:val="004F6067"/>
    <w:rsid w:val="004F62DB"/>
    <w:rsid w:val="004F650B"/>
    <w:rsid w:val="004F664B"/>
    <w:rsid w:val="004F667F"/>
    <w:rsid w:val="004F6792"/>
    <w:rsid w:val="004F692E"/>
    <w:rsid w:val="004F699D"/>
    <w:rsid w:val="004F6B5A"/>
    <w:rsid w:val="004F6BA6"/>
    <w:rsid w:val="004F75AD"/>
    <w:rsid w:val="004F7628"/>
    <w:rsid w:val="004F76F1"/>
    <w:rsid w:val="004F78D6"/>
    <w:rsid w:val="004F7AD8"/>
    <w:rsid w:val="004F7BA9"/>
    <w:rsid w:val="004F7C62"/>
    <w:rsid w:val="004F7C76"/>
    <w:rsid w:val="004F7E1B"/>
    <w:rsid w:val="004F7E9E"/>
    <w:rsid w:val="004F7ED3"/>
    <w:rsid w:val="0050001F"/>
    <w:rsid w:val="0050003F"/>
    <w:rsid w:val="00500098"/>
    <w:rsid w:val="005003B8"/>
    <w:rsid w:val="00500805"/>
    <w:rsid w:val="0050080B"/>
    <w:rsid w:val="0050083A"/>
    <w:rsid w:val="00500CAB"/>
    <w:rsid w:val="00500F1E"/>
    <w:rsid w:val="005015BC"/>
    <w:rsid w:val="0050167E"/>
    <w:rsid w:val="0050168D"/>
    <w:rsid w:val="005019F7"/>
    <w:rsid w:val="00501E34"/>
    <w:rsid w:val="00502226"/>
    <w:rsid w:val="00502361"/>
    <w:rsid w:val="00502642"/>
    <w:rsid w:val="00502752"/>
    <w:rsid w:val="00502793"/>
    <w:rsid w:val="00502879"/>
    <w:rsid w:val="005028E2"/>
    <w:rsid w:val="00502929"/>
    <w:rsid w:val="00502C7B"/>
    <w:rsid w:val="00502D29"/>
    <w:rsid w:val="00502D89"/>
    <w:rsid w:val="00502FD1"/>
    <w:rsid w:val="005030AA"/>
    <w:rsid w:val="005030D3"/>
    <w:rsid w:val="00503116"/>
    <w:rsid w:val="0050334F"/>
    <w:rsid w:val="00503476"/>
    <w:rsid w:val="005034D2"/>
    <w:rsid w:val="0050354C"/>
    <w:rsid w:val="0050379A"/>
    <w:rsid w:val="00503959"/>
    <w:rsid w:val="00503F7A"/>
    <w:rsid w:val="00503F9B"/>
    <w:rsid w:val="0050411C"/>
    <w:rsid w:val="00504487"/>
    <w:rsid w:val="005045FD"/>
    <w:rsid w:val="00504891"/>
    <w:rsid w:val="00504C7F"/>
    <w:rsid w:val="00504DDD"/>
    <w:rsid w:val="005056A2"/>
    <w:rsid w:val="00505760"/>
    <w:rsid w:val="00505784"/>
    <w:rsid w:val="00505929"/>
    <w:rsid w:val="00505B5C"/>
    <w:rsid w:val="00505B94"/>
    <w:rsid w:val="00505CA9"/>
    <w:rsid w:val="00505DD7"/>
    <w:rsid w:val="005061FA"/>
    <w:rsid w:val="005062D3"/>
    <w:rsid w:val="0050635F"/>
    <w:rsid w:val="00506381"/>
    <w:rsid w:val="00506423"/>
    <w:rsid w:val="00506452"/>
    <w:rsid w:val="0050656B"/>
    <w:rsid w:val="00506630"/>
    <w:rsid w:val="0050674D"/>
    <w:rsid w:val="005067BB"/>
    <w:rsid w:val="00506ABE"/>
    <w:rsid w:val="00506C79"/>
    <w:rsid w:val="00506CEF"/>
    <w:rsid w:val="00506ECA"/>
    <w:rsid w:val="00506EE0"/>
    <w:rsid w:val="0050701C"/>
    <w:rsid w:val="0050710C"/>
    <w:rsid w:val="005071ED"/>
    <w:rsid w:val="00507414"/>
    <w:rsid w:val="005074BE"/>
    <w:rsid w:val="005078CE"/>
    <w:rsid w:val="005078FF"/>
    <w:rsid w:val="00507C3E"/>
    <w:rsid w:val="00507C5D"/>
    <w:rsid w:val="00507EBC"/>
    <w:rsid w:val="00507F67"/>
    <w:rsid w:val="00510153"/>
    <w:rsid w:val="00510213"/>
    <w:rsid w:val="00510277"/>
    <w:rsid w:val="005102B1"/>
    <w:rsid w:val="005103B0"/>
    <w:rsid w:val="0051044E"/>
    <w:rsid w:val="00510470"/>
    <w:rsid w:val="00510472"/>
    <w:rsid w:val="00510619"/>
    <w:rsid w:val="00510793"/>
    <w:rsid w:val="0051084B"/>
    <w:rsid w:val="005108CD"/>
    <w:rsid w:val="00510C04"/>
    <w:rsid w:val="00510DA5"/>
    <w:rsid w:val="00510DB2"/>
    <w:rsid w:val="00510F8D"/>
    <w:rsid w:val="00510FE3"/>
    <w:rsid w:val="00511039"/>
    <w:rsid w:val="00511100"/>
    <w:rsid w:val="00511158"/>
    <w:rsid w:val="005112AD"/>
    <w:rsid w:val="0051175A"/>
    <w:rsid w:val="005118ED"/>
    <w:rsid w:val="00511C4C"/>
    <w:rsid w:val="00511CEE"/>
    <w:rsid w:val="00511D7A"/>
    <w:rsid w:val="00511EA8"/>
    <w:rsid w:val="00512031"/>
    <w:rsid w:val="00512172"/>
    <w:rsid w:val="005121CA"/>
    <w:rsid w:val="005121E7"/>
    <w:rsid w:val="00512309"/>
    <w:rsid w:val="00512377"/>
    <w:rsid w:val="005123D8"/>
    <w:rsid w:val="00512672"/>
    <w:rsid w:val="00512A50"/>
    <w:rsid w:val="00512B15"/>
    <w:rsid w:val="00512BAF"/>
    <w:rsid w:val="00512D76"/>
    <w:rsid w:val="00512E5B"/>
    <w:rsid w:val="005131F6"/>
    <w:rsid w:val="005132DF"/>
    <w:rsid w:val="00513347"/>
    <w:rsid w:val="0051347B"/>
    <w:rsid w:val="00513745"/>
    <w:rsid w:val="005137EA"/>
    <w:rsid w:val="0051396B"/>
    <w:rsid w:val="0051397C"/>
    <w:rsid w:val="00513ACD"/>
    <w:rsid w:val="00513C6C"/>
    <w:rsid w:val="00513E4E"/>
    <w:rsid w:val="00513E9B"/>
    <w:rsid w:val="005140C9"/>
    <w:rsid w:val="00514125"/>
    <w:rsid w:val="00514162"/>
    <w:rsid w:val="00514204"/>
    <w:rsid w:val="00514210"/>
    <w:rsid w:val="005143CA"/>
    <w:rsid w:val="00514466"/>
    <w:rsid w:val="00514467"/>
    <w:rsid w:val="00514676"/>
    <w:rsid w:val="005147F4"/>
    <w:rsid w:val="0051494D"/>
    <w:rsid w:val="00514AD4"/>
    <w:rsid w:val="00514B66"/>
    <w:rsid w:val="00514C47"/>
    <w:rsid w:val="00515031"/>
    <w:rsid w:val="00515222"/>
    <w:rsid w:val="0051537E"/>
    <w:rsid w:val="0051558E"/>
    <w:rsid w:val="00515737"/>
    <w:rsid w:val="00515774"/>
    <w:rsid w:val="00515892"/>
    <w:rsid w:val="00515A32"/>
    <w:rsid w:val="00515AE7"/>
    <w:rsid w:val="00515B95"/>
    <w:rsid w:val="00515D00"/>
    <w:rsid w:val="00515DC3"/>
    <w:rsid w:val="00515E29"/>
    <w:rsid w:val="00515F12"/>
    <w:rsid w:val="0051633A"/>
    <w:rsid w:val="00516345"/>
    <w:rsid w:val="0051645F"/>
    <w:rsid w:val="0051649B"/>
    <w:rsid w:val="00516657"/>
    <w:rsid w:val="00516696"/>
    <w:rsid w:val="005166A7"/>
    <w:rsid w:val="00516738"/>
    <w:rsid w:val="00516832"/>
    <w:rsid w:val="0051690F"/>
    <w:rsid w:val="0051695F"/>
    <w:rsid w:val="00516991"/>
    <w:rsid w:val="00516B1E"/>
    <w:rsid w:val="00516CE0"/>
    <w:rsid w:val="00516CE3"/>
    <w:rsid w:val="00517292"/>
    <w:rsid w:val="005172BD"/>
    <w:rsid w:val="00517454"/>
    <w:rsid w:val="00517458"/>
    <w:rsid w:val="005175C3"/>
    <w:rsid w:val="00517741"/>
    <w:rsid w:val="0051775E"/>
    <w:rsid w:val="00517AF2"/>
    <w:rsid w:val="00517D63"/>
    <w:rsid w:val="00517D76"/>
    <w:rsid w:val="00517E0D"/>
    <w:rsid w:val="00517EC0"/>
    <w:rsid w:val="00517FF8"/>
    <w:rsid w:val="0052001C"/>
    <w:rsid w:val="00520161"/>
    <w:rsid w:val="0052024D"/>
    <w:rsid w:val="00520564"/>
    <w:rsid w:val="00520729"/>
    <w:rsid w:val="0052078B"/>
    <w:rsid w:val="00520D54"/>
    <w:rsid w:val="00520EC1"/>
    <w:rsid w:val="00520EEA"/>
    <w:rsid w:val="00520F37"/>
    <w:rsid w:val="005213EF"/>
    <w:rsid w:val="00521424"/>
    <w:rsid w:val="00521C41"/>
    <w:rsid w:val="00521DC5"/>
    <w:rsid w:val="00521EC2"/>
    <w:rsid w:val="00521F6D"/>
    <w:rsid w:val="005220BF"/>
    <w:rsid w:val="00522178"/>
    <w:rsid w:val="00522193"/>
    <w:rsid w:val="00522299"/>
    <w:rsid w:val="00522416"/>
    <w:rsid w:val="00522634"/>
    <w:rsid w:val="00522703"/>
    <w:rsid w:val="005229E8"/>
    <w:rsid w:val="00522C46"/>
    <w:rsid w:val="00522E2D"/>
    <w:rsid w:val="00522E36"/>
    <w:rsid w:val="00522E65"/>
    <w:rsid w:val="00522E78"/>
    <w:rsid w:val="00522EC1"/>
    <w:rsid w:val="00523083"/>
    <w:rsid w:val="00523512"/>
    <w:rsid w:val="0052375B"/>
    <w:rsid w:val="005237F9"/>
    <w:rsid w:val="00523855"/>
    <w:rsid w:val="00523902"/>
    <w:rsid w:val="00523A18"/>
    <w:rsid w:val="00523C59"/>
    <w:rsid w:val="00523CE4"/>
    <w:rsid w:val="00523D01"/>
    <w:rsid w:val="00523E01"/>
    <w:rsid w:val="00523E49"/>
    <w:rsid w:val="00523FB3"/>
    <w:rsid w:val="00524099"/>
    <w:rsid w:val="0052438A"/>
    <w:rsid w:val="005243ED"/>
    <w:rsid w:val="0052442D"/>
    <w:rsid w:val="00524DE1"/>
    <w:rsid w:val="00524E78"/>
    <w:rsid w:val="00524EBE"/>
    <w:rsid w:val="00524F11"/>
    <w:rsid w:val="005250BA"/>
    <w:rsid w:val="0052517A"/>
    <w:rsid w:val="00525194"/>
    <w:rsid w:val="0052530A"/>
    <w:rsid w:val="00525639"/>
    <w:rsid w:val="00525709"/>
    <w:rsid w:val="00525D18"/>
    <w:rsid w:val="00525DD3"/>
    <w:rsid w:val="00526342"/>
    <w:rsid w:val="005265A9"/>
    <w:rsid w:val="0052667C"/>
    <w:rsid w:val="00526720"/>
    <w:rsid w:val="00526A0F"/>
    <w:rsid w:val="00526A42"/>
    <w:rsid w:val="00526B29"/>
    <w:rsid w:val="00526FBD"/>
    <w:rsid w:val="005272B4"/>
    <w:rsid w:val="005273ED"/>
    <w:rsid w:val="00527500"/>
    <w:rsid w:val="0052751A"/>
    <w:rsid w:val="005276A6"/>
    <w:rsid w:val="0052775C"/>
    <w:rsid w:val="00527927"/>
    <w:rsid w:val="00527A6A"/>
    <w:rsid w:val="00527C1F"/>
    <w:rsid w:val="00527F86"/>
    <w:rsid w:val="00530293"/>
    <w:rsid w:val="00530506"/>
    <w:rsid w:val="005306DE"/>
    <w:rsid w:val="00530873"/>
    <w:rsid w:val="00530A02"/>
    <w:rsid w:val="00530A23"/>
    <w:rsid w:val="00530BAC"/>
    <w:rsid w:val="00530E6F"/>
    <w:rsid w:val="00530E9A"/>
    <w:rsid w:val="00530EB6"/>
    <w:rsid w:val="00531207"/>
    <w:rsid w:val="0053126F"/>
    <w:rsid w:val="0053159D"/>
    <w:rsid w:val="0053171B"/>
    <w:rsid w:val="005319CF"/>
    <w:rsid w:val="00531A14"/>
    <w:rsid w:val="00531B29"/>
    <w:rsid w:val="00531B45"/>
    <w:rsid w:val="00531BD5"/>
    <w:rsid w:val="00531E28"/>
    <w:rsid w:val="00531FE3"/>
    <w:rsid w:val="0053205A"/>
    <w:rsid w:val="0053224A"/>
    <w:rsid w:val="0053230F"/>
    <w:rsid w:val="005324F1"/>
    <w:rsid w:val="0053261C"/>
    <w:rsid w:val="00532697"/>
    <w:rsid w:val="00532969"/>
    <w:rsid w:val="00532A2B"/>
    <w:rsid w:val="00532A68"/>
    <w:rsid w:val="00532B8B"/>
    <w:rsid w:val="00532DBF"/>
    <w:rsid w:val="00532E7E"/>
    <w:rsid w:val="00532FAE"/>
    <w:rsid w:val="005330C4"/>
    <w:rsid w:val="005331F6"/>
    <w:rsid w:val="005331F8"/>
    <w:rsid w:val="005334A5"/>
    <w:rsid w:val="00533744"/>
    <w:rsid w:val="0053378E"/>
    <w:rsid w:val="005337FB"/>
    <w:rsid w:val="0053397F"/>
    <w:rsid w:val="005339FB"/>
    <w:rsid w:val="00533E1B"/>
    <w:rsid w:val="00533E3E"/>
    <w:rsid w:val="00533FA7"/>
    <w:rsid w:val="00534022"/>
    <w:rsid w:val="0053439D"/>
    <w:rsid w:val="00534429"/>
    <w:rsid w:val="00534668"/>
    <w:rsid w:val="005346FB"/>
    <w:rsid w:val="00534773"/>
    <w:rsid w:val="00534808"/>
    <w:rsid w:val="0053491A"/>
    <w:rsid w:val="00534A8C"/>
    <w:rsid w:val="00534B13"/>
    <w:rsid w:val="00534B3C"/>
    <w:rsid w:val="00534C31"/>
    <w:rsid w:val="00534C47"/>
    <w:rsid w:val="00534C57"/>
    <w:rsid w:val="00534DB6"/>
    <w:rsid w:val="0053526B"/>
    <w:rsid w:val="00535328"/>
    <w:rsid w:val="0053554B"/>
    <w:rsid w:val="005356C7"/>
    <w:rsid w:val="005356DB"/>
    <w:rsid w:val="005358BD"/>
    <w:rsid w:val="00535918"/>
    <w:rsid w:val="00535A4E"/>
    <w:rsid w:val="00535CAA"/>
    <w:rsid w:val="0053608D"/>
    <w:rsid w:val="00536495"/>
    <w:rsid w:val="00536541"/>
    <w:rsid w:val="00536685"/>
    <w:rsid w:val="00536812"/>
    <w:rsid w:val="0053681C"/>
    <w:rsid w:val="00536ABA"/>
    <w:rsid w:val="00536B48"/>
    <w:rsid w:val="00536B62"/>
    <w:rsid w:val="00536B7E"/>
    <w:rsid w:val="00536B8F"/>
    <w:rsid w:val="00536C58"/>
    <w:rsid w:val="00536CB1"/>
    <w:rsid w:val="00536D80"/>
    <w:rsid w:val="00536EA5"/>
    <w:rsid w:val="00536F07"/>
    <w:rsid w:val="00536F3C"/>
    <w:rsid w:val="00536F46"/>
    <w:rsid w:val="00536FC8"/>
    <w:rsid w:val="00536FF8"/>
    <w:rsid w:val="00537083"/>
    <w:rsid w:val="00537255"/>
    <w:rsid w:val="00537386"/>
    <w:rsid w:val="00537627"/>
    <w:rsid w:val="005378CF"/>
    <w:rsid w:val="00537A88"/>
    <w:rsid w:val="00537D38"/>
    <w:rsid w:val="00537D43"/>
    <w:rsid w:val="00537D69"/>
    <w:rsid w:val="00537E7A"/>
    <w:rsid w:val="00537EC7"/>
    <w:rsid w:val="00537F55"/>
    <w:rsid w:val="00537F86"/>
    <w:rsid w:val="00537FCD"/>
    <w:rsid w:val="0054038C"/>
    <w:rsid w:val="005403A4"/>
    <w:rsid w:val="0054051D"/>
    <w:rsid w:val="00540522"/>
    <w:rsid w:val="00540652"/>
    <w:rsid w:val="00540674"/>
    <w:rsid w:val="0054078E"/>
    <w:rsid w:val="0054085B"/>
    <w:rsid w:val="00540928"/>
    <w:rsid w:val="005409A9"/>
    <w:rsid w:val="00540C0D"/>
    <w:rsid w:val="00540E85"/>
    <w:rsid w:val="005414EA"/>
    <w:rsid w:val="005415D2"/>
    <w:rsid w:val="0054187F"/>
    <w:rsid w:val="00541A74"/>
    <w:rsid w:val="00541B95"/>
    <w:rsid w:val="00541B96"/>
    <w:rsid w:val="00541E3E"/>
    <w:rsid w:val="00541E93"/>
    <w:rsid w:val="0054208A"/>
    <w:rsid w:val="00542111"/>
    <w:rsid w:val="005422A7"/>
    <w:rsid w:val="0054241E"/>
    <w:rsid w:val="00542456"/>
    <w:rsid w:val="00542485"/>
    <w:rsid w:val="005428CA"/>
    <w:rsid w:val="00542D26"/>
    <w:rsid w:val="00542DDE"/>
    <w:rsid w:val="005432BD"/>
    <w:rsid w:val="00543367"/>
    <w:rsid w:val="0054351C"/>
    <w:rsid w:val="0054356F"/>
    <w:rsid w:val="00543708"/>
    <w:rsid w:val="00543D26"/>
    <w:rsid w:val="00543E38"/>
    <w:rsid w:val="005440C7"/>
    <w:rsid w:val="005442C0"/>
    <w:rsid w:val="0054460F"/>
    <w:rsid w:val="005446A1"/>
    <w:rsid w:val="00544BF0"/>
    <w:rsid w:val="00544BFE"/>
    <w:rsid w:val="00544D55"/>
    <w:rsid w:val="0054541C"/>
    <w:rsid w:val="00545493"/>
    <w:rsid w:val="005457CC"/>
    <w:rsid w:val="00545B2E"/>
    <w:rsid w:val="00545C13"/>
    <w:rsid w:val="00545D52"/>
    <w:rsid w:val="00545D7D"/>
    <w:rsid w:val="00545DBF"/>
    <w:rsid w:val="00546087"/>
    <w:rsid w:val="005460D2"/>
    <w:rsid w:val="00546203"/>
    <w:rsid w:val="00546215"/>
    <w:rsid w:val="005463C2"/>
    <w:rsid w:val="00546757"/>
    <w:rsid w:val="00546938"/>
    <w:rsid w:val="00546AF7"/>
    <w:rsid w:val="00546B57"/>
    <w:rsid w:val="00546B77"/>
    <w:rsid w:val="00546B8F"/>
    <w:rsid w:val="00546E23"/>
    <w:rsid w:val="00546E93"/>
    <w:rsid w:val="00547004"/>
    <w:rsid w:val="00547046"/>
    <w:rsid w:val="005470E0"/>
    <w:rsid w:val="00547149"/>
    <w:rsid w:val="0054720A"/>
    <w:rsid w:val="00547277"/>
    <w:rsid w:val="005473B5"/>
    <w:rsid w:val="00547534"/>
    <w:rsid w:val="00547938"/>
    <w:rsid w:val="00547977"/>
    <w:rsid w:val="00547AC6"/>
    <w:rsid w:val="00547B24"/>
    <w:rsid w:val="00547F0B"/>
    <w:rsid w:val="005500F6"/>
    <w:rsid w:val="00550151"/>
    <w:rsid w:val="005501EB"/>
    <w:rsid w:val="0055029C"/>
    <w:rsid w:val="0055054E"/>
    <w:rsid w:val="005505B2"/>
    <w:rsid w:val="005508B0"/>
    <w:rsid w:val="005508CE"/>
    <w:rsid w:val="0055092C"/>
    <w:rsid w:val="00550A74"/>
    <w:rsid w:val="00550B13"/>
    <w:rsid w:val="00550C55"/>
    <w:rsid w:val="00550C78"/>
    <w:rsid w:val="00550C8C"/>
    <w:rsid w:val="00550D46"/>
    <w:rsid w:val="00550E6D"/>
    <w:rsid w:val="00551114"/>
    <w:rsid w:val="00551706"/>
    <w:rsid w:val="00551A0C"/>
    <w:rsid w:val="00551AA7"/>
    <w:rsid w:val="00551B62"/>
    <w:rsid w:val="00551CC8"/>
    <w:rsid w:val="00551CF4"/>
    <w:rsid w:val="00551DD1"/>
    <w:rsid w:val="00551FD6"/>
    <w:rsid w:val="00551FE2"/>
    <w:rsid w:val="00552355"/>
    <w:rsid w:val="0055238F"/>
    <w:rsid w:val="00552427"/>
    <w:rsid w:val="00552796"/>
    <w:rsid w:val="005527F6"/>
    <w:rsid w:val="005529E9"/>
    <w:rsid w:val="00552A58"/>
    <w:rsid w:val="00552B1D"/>
    <w:rsid w:val="00552C33"/>
    <w:rsid w:val="00552C40"/>
    <w:rsid w:val="00552C66"/>
    <w:rsid w:val="00552C7B"/>
    <w:rsid w:val="00552F45"/>
    <w:rsid w:val="00552FE6"/>
    <w:rsid w:val="0055303A"/>
    <w:rsid w:val="00553296"/>
    <w:rsid w:val="00553497"/>
    <w:rsid w:val="00553608"/>
    <w:rsid w:val="005536EA"/>
    <w:rsid w:val="00553A9C"/>
    <w:rsid w:val="00553B5F"/>
    <w:rsid w:val="00553BE4"/>
    <w:rsid w:val="00553C9F"/>
    <w:rsid w:val="00553F05"/>
    <w:rsid w:val="00553F8A"/>
    <w:rsid w:val="00554438"/>
    <w:rsid w:val="005544EB"/>
    <w:rsid w:val="0055471B"/>
    <w:rsid w:val="005547D0"/>
    <w:rsid w:val="00554922"/>
    <w:rsid w:val="0055498C"/>
    <w:rsid w:val="005549CA"/>
    <w:rsid w:val="00554D43"/>
    <w:rsid w:val="00554FE9"/>
    <w:rsid w:val="00555241"/>
    <w:rsid w:val="005554DE"/>
    <w:rsid w:val="0055555A"/>
    <w:rsid w:val="00555704"/>
    <w:rsid w:val="00555894"/>
    <w:rsid w:val="005559F8"/>
    <w:rsid w:val="00555AF7"/>
    <w:rsid w:val="00555B8B"/>
    <w:rsid w:val="00555BA0"/>
    <w:rsid w:val="00555BB1"/>
    <w:rsid w:val="00555C8F"/>
    <w:rsid w:val="00555C93"/>
    <w:rsid w:val="00555C98"/>
    <w:rsid w:val="00555CB9"/>
    <w:rsid w:val="00555DF5"/>
    <w:rsid w:val="00555F40"/>
    <w:rsid w:val="00555FAD"/>
    <w:rsid w:val="00555FB5"/>
    <w:rsid w:val="0055600C"/>
    <w:rsid w:val="005562F9"/>
    <w:rsid w:val="00556302"/>
    <w:rsid w:val="00556505"/>
    <w:rsid w:val="005565DA"/>
    <w:rsid w:val="005566C8"/>
    <w:rsid w:val="0055675D"/>
    <w:rsid w:val="005568AC"/>
    <w:rsid w:val="00556BA1"/>
    <w:rsid w:val="00556C4F"/>
    <w:rsid w:val="00556CBD"/>
    <w:rsid w:val="00556E0F"/>
    <w:rsid w:val="00557003"/>
    <w:rsid w:val="005570A3"/>
    <w:rsid w:val="0055746A"/>
    <w:rsid w:val="00557472"/>
    <w:rsid w:val="00557504"/>
    <w:rsid w:val="00557781"/>
    <w:rsid w:val="00557870"/>
    <w:rsid w:val="00557BB7"/>
    <w:rsid w:val="00557E71"/>
    <w:rsid w:val="00557EDA"/>
    <w:rsid w:val="00560252"/>
    <w:rsid w:val="005607AF"/>
    <w:rsid w:val="0056092A"/>
    <w:rsid w:val="00560A36"/>
    <w:rsid w:val="00560D1A"/>
    <w:rsid w:val="00561284"/>
    <w:rsid w:val="005617D3"/>
    <w:rsid w:val="005618BA"/>
    <w:rsid w:val="00561A2F"/>
    <w:rsid w:val="00561C25"/>
    <w:rsid w:val="00561CDC"/>
    <w:rsid w:val="00561DEA"/>
    <w:rsid w:val="005623E4"/>
    <w:rsid w:val="005625B5"/>
    <w:rsid w:val="0056263B"/>
    <w:rsid w:val="00562650"/>
    <w:rsid w:val="0056269A"/>
    <w:rsid w:val="00562760"/>
    <w:rsid w:val="005627A3"/>
    <w:rsid w:val="0056283D"/>
    <w:rsid w:val="00562883"/>
    <w:rsid w:val="00562A42"/>
    <w:rsid w:val="00562A90"/>
    <w:rsid w:val="00562AB9"/>
    <w:rsid w:val="00562ADC"/>
    <w:rsid w:val="00562C5E"/>
    <w:rsid w:val="00562F15"/>
    <w:rsid w:val="00562F20"/>
    <w:rsid w:val="00563105"/>
    <w:rsid w:val="00563107"/>
    <w:rsid w:val="00563269"/>
    <w:rsid w:val="0056343D"/>
    <w:rsid w:val="005635C7"/>
    <w:rsid w:val="00563637"/>
    <w:rsid w:val="005638BE"/>
    <w:rsid w:val="005639C4"/>
    <w:rsid w:val="00563A44"/>
    <w:rsid w:val="00563D4D"/>
    <w:rsid w:val="0056466C"/>
    <w:rsid w:val="005646E3"/>
    <w:rsid w:val="0056489C"/>
    <w:rsid w:val="0056496C"/>
    <w:rsid w:val="00564BF2"/>
    <w:rsid w:val="005652D5"/>
    <w:rsid w:val="00565382"/>
    <w:rsid w:val="00565449"/>
    <w:rsid w:val="005656ED"/>
    <w:rsid w:val="00565DAE"/>
    <w:rsid w:val="0056632E"/>
    <w:rsid w:val="00566465"/>
    <w:rsid w:val="0056665F"/>
    <w:rsid w:val="005666B3"/>
    <w:rsid w:val="005666E8"/>
    <w:rsid w:val="00566709"/>
    <w:rsid w:val="0056672F"/>
    <w:rsid w:val="0056693F"/>
    <w:rsid w:val="00566ABE"/>
    <w:rsid w:val="00566B35"/>
    <w:rsid w:val="00566B6B"/>
    <w:rsid w:val="00566D00"/>
    <w:rsid w:val="00566D39"/>
    <w:rsid w:val="00566EDC"/>
    <w:rsid w:val="00566FAC"/>
    <w:rsid w:val="005671A9"/>
    <w:rsid w:val="005671C2"/>
    <w:rsid w:val="00567242"/>
    <w:rsid w:val="00567248"/>
    <w:rsid w:val="0056726C"/>
    <w:rsid w:val="00567292"/>
    <w:rsid w:val="00567359"/>
    <w:rsid w:val="00567526"/>
    <w:rsid w:val="0056773D"/>
    <w:rsid w:val="00567C68"/>
    <w:rsid w:val="00567CB2"/>
    <w:rsid w:val="00567F72"/>
    <w:rsid w:val="005700AD"/>
    <w:rsid w:val="0057036A"/>
    <w:rsid w:val="00570475"/>
    <w:rsid w:val="005705AF"/>
    <w:rsid w:val="0057085D"/>
    <w:rsid w:val="00570903"/>
    <w:rsid w:val="00570ABD"/>
    <w:rsid w:val="00570BE1"/>
    <w:rsid w:val="00570F0B"/>
    <w:rsid w:val="00570FD4"/>
    <w:rsid w:val="005710ED"/>
    <w:rsid w:val="00571148"/>
    <w:rsid w:val="0057114A"/>
    <w:rsid w:val="0057120B"/>
    <w:rsid w:val="0057131E"/>
    <w:rsid w:val="0057145B"/>
    <w:rsid w:val="00571724"/>
    <w:rsid w:val="005718AD"/>
    <w:rsid w:val="00571B0C"/>
    <w:rsid w:val="00571BC3"/>
    <w:rsid w:val="00571BE8"/>
    <w:rsid w:val="00571C65"/>
    <w:rsid w:val="00571D3D"/>
    <w:rsid w:val="00571E58"/>
    <w:rsid w:val="00571F23"/>
    <w:rsid w:val="00571F76"/>
    <w:rsid w:val="00572076"/>
    <w:rsid w:val="0057207D"/>
    <w:rsid w:val="00572316"/>
    <w:rsid w:val="0057251F"/>
    <w:rsid w:val="00572685"/>
    <w:rsid w:val="0057282D"/>
    <w:rsid w:val="00572CEA"/>
    <w:rsid w:val="00572F6D"/>
    <w:rsid w:val="005731A3"/>
    <w:rsid w:val="005732CB"/>
    <w:rsid w:val="005733BA"/>
    <w:rsid w:val="00573524"/>
    <w:rsid w:val="00573650"/>
    <w:rsid w:val="00573726"/>
    <w:rsid w:val="005738E9"/>
    <w:rsid w:val="00573A18"/>
    <w:rsid w:val="00573AD0"/>
    <w:rsid w:val="00573AE6"/>
    <w:rsid w:val="00573B5A"/>
    <w:rsid w:val="00573B7B"/>
    <w:rsid w:val="00573F79"/>
    <w:rsid w:val="005741E2"/>
    <w:rsid w:val="005741FA"/>
    <w:rsid w:val="005744F3"/>
    <w:rsid w:val="00574502"/>
    <w:rsid w:val="0057464B"/>
    <w:rsid w:val="00574A52"/>
    <w:rsid w:val="00574C57"/>
    <w:rsid w:val="00574C6A"/>
    <w:rsid w:val="00574D79"/>
    <w:rsid w:val="00574E2D"/>
    <w:rsid w:val="00575039"/>
    <w:rsid w:val="00575266"/>
    <w:rsid w:val="00575335"/>
    <w:rsid w:val="00575617"/>
    <w:rsid w:val="00575672"/>
    <w:rsid w:val="005759CE"/>
    <w:rsid w:val="00575A03"/>
    <w:rsid w:val="00575D73"/>
    <w:rsid w:val="00575F88"/>
    <w:rsid w:val="00576247"/>
    <w:rsid w:val="0057634B"/>
    <w:rsid w:val="00576490"/>
    <w:rsid w:val="005765DB"/>
    <w:rsid w:val="005765F4"/>
    <w:rsid w:val="005768C8"/>
    <w:rsid w:val="0057691D"/>
    <w:rsid w:val="00576A96"/>
    <w:rsid w:val="00576B95"/>
    <w:rsid w:val="00576DCF"/>
    <w:rsid w:val="00576ECA"/>
    <w:rsid w:val="00577243"/>
    <w:rsid w:val="005772C2"/>
    <w:rsid w:val="005772F9"/>
    <w:rsid w:val="005774C9"/>
    <w:rsid w:val="00577849"/>
    <w:rsid w:val="00577CC4"/>
    <w:rsid w:val="00577CC9"/>
    <w:rsid w:val="00577EE0"/>
    <w:rsid w:val="00577F43"/>
    <w:rsid w:val="00577F97"/>
    <w:rsid w:val="005802D6"/>
    <w:rsid w:val="00580564"/>
    <w:rsid w:val="00580596"/>
    <w:rsid w:val="00580704"/>
    <w:rsid w:val="0058076D"/>
    <w:rsid w:val="00580AA3"/>
    <w:rsid w:val="00580FDB"/>
    <w:rsid w:val="00580FDD"/>
    <w:rsid w:val="0058104E"/>
    <w:rsid w:val="0058115E"/>
    <w:rsid w:val="0058117F"/>
    <w:rsid w:val="005812BD"/>
    <w:rsid w:val="00581310"/>
    <w:rsid w:val="0058133F"/>
    <w:rsid w:val="005813B2"/>
    <w:rsid w:val="0058143E"/>
    <w:rsid w:val="005814D9"/>
    <w:rsid w:val="00581572"/>
    <w:rsid w:val="005818C2"/>
    <w:rsid w:val="005819F4"/>
    <w:rsid w:val="005820BC"/>
    <w:rsid w:val="00582143"/>
    <w:rsid w:val="005821AE"/>
    <w:rsid w:val="005821D1"/>
    <w:rsid w:val="00582215"/>
    <w:rsid w:val="00582358"/>
    <w:rsid w:val="005828F2"/>
    <w:rsid w:val="00582A1F"/>
    <w:rsid w:val="00582A2B"/>
    <w:rsid w:val="00582AB5"/>
    <w:rsid w:val="00582B56"/>
    <w:rsid w:val="00582C9E"/>
    <w:rsid w:val="00582F35"/>
    <w:rsid w:val="00583155"/>
    <w:rsid w:val="005834D8"/>
    <w:rsid w:val="00583A4B"/>
    <w:rsid w:val="00583BCA"/>
    <w:rsid w:val="00583EC0"/>
    <w:rsid w:val="00583F64"/>
    <w:rsid w:val="00583FFE"/>
    <w:rsid w:val="0058421B"/>
    <w:rsid w:val="00584493"/>
    <w:rsid w:val="005844AA"/>
    <w:rsid w:val="00584588"/>
    <w:rsid w:val="005848A1"/>
    <w:rsid w:val="005848FD"/>
    <w:rsid w:val="00584940"/>
    <w:rsid w:val="00584955"/>
    <w:rsid w:val="00584969"/>
    <w:rsid w:val="00584D12"/>
    <w:rsid w:val="00584D2B"/>
    <w:rsid w:val="00584D64"/>
    <w:rsid w:val="00584E79"/>
    <w:rsid w:val="00584EE8"/>
    <w:rsid w:val="00585065"/>
    <w:rsid w:val="005850E9"/>
    <w:rsid w:val="005852C1"/>
    <w:rsid w:val="0058543E"/>
    <w:rsid w:val="00585593"/>
    <w:rsid w:val="005858C8"/>
    <w:rsid w:val="00585998"/>
    <w:rsid w:val="00585B91"/>
    <w:rsid w:val="00585B9C"/>
    <w:rsid w:val="00585C9B"/>
    <w:rsid w:val="00585D9F"/>
    <w:rsid w:val="00585E3E"/>
    <w:rsid w:val="00585EE8"/>
    <w:rsid w:val="00585FE9"/>
    <w:rsid w:val="0058620A"/>
    <w:rsid w:val="00586309"/>
    <w:rsid w:val="005863B7"/>
    <w:rsid w:val="00586468"/>
    <w:rsid w:val="005864DF"/>
    <w:rsid w:val="005865AE"/>
    <w:rsid w:val="005865E7"/>
    <w:rsid w:val="00586711"/>
    <w:rsid w:val="005869C2"/>
    <w:rsid w:val="00586AB1"/>
    <w:rsid w:val="00586B83"/>
    <w:rsid w:val="00586DB9"/>
    <w:rsid w:val="00586F69"/>
    <w:rsid w:val="00586FE1"/>
    <w:rsid w:val="00586FED"/>
    <w:rsid w:val="00587106"/>
    <w:rsid w:val="00587176"/>
    <w:rsid w:val="005872A3"/>
    <w:rsid w:val="00587522"/>
    <w:rsid w:val="00587574"/>
    <w:rsid w:val="005876D5"/>
    <w:rsid w:val="0058771A"/>
    <w:rsid w:val="0058775C"/>
    <w:rsid w:val="00587858"/>
    <w:rsid w:val="00587A18"/>
    <w:rsid w:val="00587ACA"/>
    <w:rsid w:val="00587B2C"/>
    <w:rsid w:val="00587BC4"/>
    <w:rsid w:val="00587D76"/>
    <w:rsid w:val="00587F7E"/>
    <w:rsid w:val="00590013"/>
    <w:rsid w:val="00590148"/>
    <w:rsid w:val="005909C5"/>
    <w:rsid w:val="00590AB6"/>
    <w:rsid w:val="00590CAC"/>
    <w:rsid w:val="00590D6C"/>
    <w:rsid w:val="00590F1D"/>
    <w:rsid w:val="005910B0"/>
    <w:rsid w:val="00591155"/>
    <w:rsid w:val="00591366"/>
    <w:rsid w:val="005914A3"/>
    <w:rsid w:val="00591792"/>
    <w:rsid w:val="005917A8"/>
    <w:rsid w:val="005918FF"/>
    <w:rsid w:val="00591DE7"/>
    <w:rsid w:val="00591EE0"/>
    <w:rsid w:val="00592004"/>
    <w:rsid w:val="0059209A"/>
    <w:rsid w:val="00592266"/>
    <w:rsid w:val="0059277B"/>
    <w:rsid w:val="0059285C"/>
    <w:rsid w:val="00592912"/>
    <w:rsid w:val="00592918"/>
    <w:rsid w:val="00592A51"/>
    <w:rsid w:val="00592C33"/>
    <w:rsid w:val="00592C4D"/>
    <w:rsid w:val="00592D57"/>
    <w:rsid w:val="00592DBE"/>
    <w:rsid w:val="00592E5E"/>
    <w:rsid w:val="00592ED8"/>
    <w:rsid w:val="0059320E"/>
    <w:rsid w:val="00593377"/>
    <w:rsid w:val="0059337B"/>
    <w:rsid w:val="00593436"/>
    <w:rsid w:val="0059348E"/>
    <w:rsid w:val="005934A2"/>
    <w:rsid w:val="0059357D"/>
    <w:rsid w:val="0059398F"/>
    <w:rsid w:val="00593A69"/>
    <w:rsid w:val="00593AA4"/>
    <w:rsid w:val="00593CA5"/>
    <w:rsid w:val="00593E23"/>
    <w:rsid w:val="00593FA3"/>
    <w:rsid w:val="0059403A"/>
    <w:rsid w:val="0059405C"/>
    <w:rsid w:val="005940B9"/>
    <w:rsid w:val="005943D4"/>
    <w:rsid w:val="00594560"/>
    <w:rsid w:val="0059457E"/>
    <w:rsid w:val="0059461C"/>
    <w:rsid w:val="00594641"/>
    <w:rsid w:val="005946EB"/>
    <w:rsid w:val="00594820"/>
    <w:rsid w:val="00594CB0"/>
    <w:rsid w:val="0059514D"/>
    <w:rsid w:val="005951AD"/>
    <w:rsid w:val="00595995"/>
    <w:rsid w:val="005959D8"/>
    <w:rsid w:val="00595A6B"/>
    <w:rsid w:val="00595C29"/>
    <w:rsid w:val="00595E3B"/>
    <w:rsid w:val="00595EF0"/>
    <w:rsid w:val="0059605D"/>
    <w:rsid w:val="00596535"/>
    <w:rsid w:val="0059669C"/>
    <w:rsid w:val="00596712"/>
    <w:rsid w:val="0059672C"/>
    <w:rsid w:val="00596872"/>
    <w:rsid w:val="0059699B"/>
    <w:rsid w:val="005969F5"/>
    <w:rsid w:val="00596A09"/>
    <w:rsid w:val="00596A21"/>
    <w:rsid w:val="00596D1B"/>
    <w:rsid w:val="00596D80"/>
    <w:rsid w:val="0059704A"/>
    <w:rsid w:val="00597093"/>
    <w:rsid w:val="005972EA"/>
    <w:rsid w:val="00597378"/>
    <w:rsid w:val="005975C0"/>
    <w:rsid w:val="0059761C"/>
    <w:rsid w:val="0059794E"/>
    <w:rsid w:val="0059795B"/>
    <w:rsid w:val="00597A28"/>
    <w:rsid w:val="00597A82"/>
    <w:rsid w:val="00597EE4"/>
    <w:rsid w:val="00597F7E"/>
    <w:rsid w:val="005A0006"/>
    <w:rsid w:val="005A027E"/>
    <w:rsid w:val="005A03BB"/>
    <w:rsid w:val="005A0871"/>
    <w:rsid w:val="005A09E9"/>
    <w:rsid w:val="005A0A4B"/>
    <w:rsid w:val="005A0AF2"/>
    <w:rsid w:val="005A0D6E"/>
    <w:rsid w:val="005A0E61"/>
    <w:rsid w:val="005A0FA4"/>
    <w:rsid w:val="005A1149"/>
    <w:rsid w:val="005A16AA"/>
    <w:rsid w:val="005A1790"/>
    <w:rsid w:val="005A17F1"/>
    <w:rsid w:val="005A1889"/>
    <w:rsid w:val="005A19E2"/>
    <w:rsid w:val="005A1A78"/>
    <w:rsid w:val="005A1B55"/>
    <w:rsid w:val="005A1C09"/>
    <w:rsid w:val="005A1E49"/>
    <w:rsid w:val="005A1F2D"/>
    <w:rsid w:val="005A1FEA"/>
    <w:rsid w:val="005A2259"/>
    <w:rsid w:val="005A23FD"/>
    <w:rsid w:val="005A245B"/>
    <w:rsid w:val="005A28CE"/>
    <w:rsid w:val="005A2AA4"/>
    <w:rsid w:val="005A2B46"/>
    <w:rsid w:val="005A31AE"/>
    <w:rsid w:val="005A321B"/>
    <w:rsid w:val="005A3297"/>
    <w:rsid w:val="005A32DA"/>
    <w:rsid w:val="005A32DC"/>
    <w:rsid w:val="005A3756"/>
    <w:rsid w:val="005A3997"/>
    <w:rsid w:val="005A3A0B"/>
    <w:rsid w:val="005A3B8C"/>
    <w:rsid w:val="005A3F39"/>
    <w:rsid w:val="005A4265"/>
    <w:rsid w:val="005A4683"/>
    <w:rsid w:val="005A496B"/>
    <w:rsid w:val="005A4D4B"/>
    <w:rsid w:val="005A4E4A"/>
    <w:rsid w:val="005A4F56"/>
    <w:rsid w:val="005A4FCE"/>
    <w:rsid w:val="005A5639"/>
    <w:rsid w:val="005A582D"/>
    <w:rsid w:val="005A5996"/>
    <w:rsid w:val="005A5A72"/>
    <w:rsid w:val="005A5C16"/>
    <w:rsid w:val="005A5F84"/>
    <w:rsid w:val="005A6173"/>
    <w:rsid w:val="005A627F"/>
    <w:rsid w:val="005A6301"/>
    <w:rsid w:val="005A634D"/>
    <w:rsid w:val="005A6586"/>
    <w:rsid w:val="005A6673"/>
    <w:rsid w:val="005A6690"/>
    <w:rsid w:val="005A6AE6"/>
    <w:rsid w:val="005A6B15"/>
    <w:rsid w:val="005A6C41"/>
    <w:rsid w:val="005A6C91"/>
    <w:rsid w:val="005A6CE4"/>
    <w:rsid w:val="005A6D42"/>
    <w:rsid w:val="005A6D61"/>
    <w:rsid w:val="005A6FEC"/>
    <w:rsid w:val="005A7006"/>
    <w:rsid w:val="005A7677"/>
    <w:rsid w:val="005A7711"/>
    <w:rsid w:val="005A7898"/>
    <w:rsid w:val="005A78EB"/>
    <w:rsid w:val="005A798B"/>
    <w:rsid w:val="005A79F5"/>
    <w:rsid w:val="005A7B38"/>
    <w:rsid w:val="005A7B9E"/>
    <w:rsid w:val="005B03AD"/>
    <w:rsid w:val="005B0569"/>
    <w:rsid w:val="005B07E4"/>
    <w:rsid w:val="005B0D5C"/>
    <w:rsid w:val="005B0E20"/>
    <w:rsid w:val="005B0E71"/>
    <w:rsid w:val="005B10B4"/>
    <w:rsid w:val="005B1247"/>
    <w:rsid w:val="005B1431"/>
    <w:rsid w:val="005B15A2"/>
    <w:rsid w:val="005B15AA"/>
    <w:rsid w:val="005B181C"/>
    <w:rsid w:val="005B18A8"/>
    <w:rsid w:val="005B1930"/>
    <w:rsid w:val="005B1B1D"/>
    <w:rsid w:val="005B1E65"/>
    <w:rsid w:val="005B1F32"/>
    <w:rsid w:val="005B1FEB"/>
    <w:rsid w:val="005B200B"/>
    <w:rsid w:val="005B20B5"/>
    <w:rsid w:val="005B224C"/>
    <w:rsid w:val="005B22F7"/>
    <w:rsid w:val="005B2501"/>
    <w:rsid w:val="005B2675"/>
    <w:rsid w:val="005B2925"/>
    <w:rsid w:val="005B2A04"/>
    <w:rsid w:val="005B2A4D"/>
    <w:rsid w:val="005B2AC6"/>
    <w:rsid w:val="005B2AD1"/>
    <w:rsid w:val="005B2AD9"/>
    <w:rsid w:val="005B2B25"/>
    <w:rsid w:val="005B2BDD"/>
    <w:rsid w:val="005B2C58"/>
    <w:rsid w:val="005B2CCE"/>
    <w:rsid w:val="005B2FBE"/>
    <w:rsid w:val="005B300C"/>
    <w:rsid w:val="005B31BC"/>
    <w:rsid w:val="005B327A"/>
    <w:rsid w:val="005B3297"/>
    <w:rsid w:val="005B32EB"/>
    <w:rsid w:val="005B3664"/>
    <w:rsid w:val="005B38F2"/>
    <w:rsid w:val="005B395B"/>
    <w:rsid w:val="005B39F9"/>
    <w:rsid w:val="005B3A61"/>
    <w:rsid w:val="005B3D24"/>
    <w:rsid w:val="005B3D2A"/>
    <w:rsid w:val="005B3E39"/>
    <w:rsid w:val="005B43AF"/>
    <w:rsid w:val="005B4410"/>
    <w:rsid w:val="005B4660"/>
    <w:rsid w:val="005B46E1"/>
    <w:rsid w:val="005B4748"/>
    <w:rsid w:val="005B47F6"/>
    <w:rsid w:val="005B482B"/>
    <w:rsid w:val="005B499E"/>
    <w:rsid w:val="005B4B06"/>
    <w:rsid w:val="005B4FA2"/>
    <w:rsid w:val="005B50FF"/>
    <w:rsid w:val="005B512F"/>
    <w:rsid w:val="005B55A7"/>
    <w:rsid w:val="005B55E8"/>
    <w:rsid w:val="005B5631"/>
    <w:rsid w:val="005B585E"/>
    <w:rsid w:val="005B5B77"/>
    <w:rsid w:val="005B5B96"/>
    <w:rsid w:val="005B5BA1"/>
    <w:rsid w:val="005B5D7A"/>
    <w:rsid w:val="005B6043"/>
    <w:rsid w:val="005B64F6"/>
    <w:rsid w:val="005B67B9"/>
    <w:rsid w:val="005B68CE"/>
    <w:rsid w:val="005B6E80"/>
    <w:rsid w:val="005B6EC6"/>
    <w:rsid w:val="005B6EEE"/>
    <w:rsid w:val="005B6F2E"/>
    <w:rsid w:val="005B6FBD"/>
    <w:rsid w:val="005B74D2"/>
    <w:rsid w:val="005B772F"/>
    <w:rsid w:val="005B7994"/>
    <w:rsid w:val="005B7C25"/>
    <w:rsid w:val="005B7C3D"/>
    <w:rsid w:val="005B7C42"/>
    <w:rsid w:val="005B7CD5"/>
    <w:rsid w:val="005B7D6C"/>
    <w:rsid w:val="005B7DFD"/>
    <w:rsid w:val="005C00B4"/>
    <w:rsid w:val="005C019F"/>
    <w:rsid w:val="005C01C9"/>
    <w:rsid w:val="005C079E"/>
    <w:rsid w:val="005C0820"/>
    <w:rsid w:val="005C0832"/>
    <w:rsid w:val="005C08ED"/>
    <w:rsid w:val="005C0C1D"/>
    <w:rsid w:val="005C0C32"/>
    <w:rsid w:val="005C0E01"/>
    <w:rsid w:val="005C0E55"/>
    <w:rsid w:val="005C0EA2"/>
    <w:rsid w:val="005C1138"/>
    <w:rsid w:val="005C11EC"/>
    <w:rsid w:val="005C131F"/>
    <w:rsid w:val="005C14F0"/>
    <w:rsid w:val="005C1980"/>
    <w:rsid w:val="005C1D1D"/>
    <w:rsid w:val="005C1EA3"/>
    <w:rsid w:val="005C20A5"/>
    <w:rsid w:val="005C20F0"/>
    <w:rsid w:val="005C21AD"/>
    <w:rsid w:val="005C2256"/>
    <w:rsid w:val="005C248D"/>
    <w:rsid w:val="005C270A"/>
    <w:rsid w:val="005C2731"/>
    <w:rsid w:val="005C278C"/>
    <w:rsid w:val="005C2B0B"/>
    <w:rsid w:val="005C2DB6"/>
    <w:rsid w:val="005C320A"/>
    <w:rsid w:val="005C322E"/>
    <w:rsid w:val="005C3439"/>
    <w:rsid w:val="005C3645"/>
    <w:rsid w:val="005C371D"/>
    <w:rsid w:val="005C3800"/>
    <w:rsid w:val="005C3ABE"/>
    <w:rsid w:val="005C3D3A"/>
    <w:rsid w:val="005C3D7B"/>
    <w:rsid w:val="005C3D9D"/>
    <w:rsid w:val="005C3E2A"/>
    <w:rsid w:val="005C4202"/>
    <w:rsid w:val="005C4338"/>
    <w:rsid w:val="005C4413"/>
    <w:rsid w:val="005C481C"/>
    <w:rsid w:val="005C4AEE"/>
    <w:rsid w:val="005C4F08"/>
    <w:rsid w:val="005C4F48"/>
    <w:rsid w:val="005C4F60"/>
    <w:rsid w:val="005C51B5"/>
    <w:rsid w:val="005C5667"/>
    <w:rsid w:val="005C566F"/>
    <w:rsid w:val="005C5896"/>
    <w:rsid w:val="005C59B6"/>
    <w:rsid w:val="005C5A24"/>
    <w:rsid w:val="005C5C2C"/>
    <w:rsid w:val="005C5CA3"/>
    <w:rsid w:val="005C5D33"/>
    <w:rsid w:val="005C63DB"/>
    <w:rsid w:val="005C6572"/>
    <w:rsid w:val="005C65D2"/>
    <w:rsid w:val="005C6793"/>
    <w:rsid w:val="005C684C"/>
    <w:rsid w:val="005C6A9F"/>
    <w:rsid w:val="005C6AA4"/>
    <w:rsid w:val="005C6ACE"/>
    <w:rsid w:val="005C6B17"/>
    <w:rsid w:val="005C6D76"/>
    <w:rsid w:val="005C6F4D"/>
    <w:rsid w:val="005C7059"/>
    <w:rsid w:val="005C7082"/>
    <w:rsid w:val="005C7088"/>
    <w:rsid w:val="005C71D3"/>
    <w:rsid w:val="005C72B6"/>
    <w:rsid w:val="005C7337"/>
    <w:rsid w:val="005C754C"/>
    <w:rsid w:val="005C75F3"/>
    <w:rsid w:val="005C76CF"/>
    <w:rsid w:val="005C7AE8"/>
    <w:rsid w:val="005C7AFC"/>
    <w:rsid w:val="005C7CAF"/>
    <w:rsid w:val="005C7F8C"/>
    <w:rsid w:val="005D053B"/>
    <w:rsid w:val="005D08C6"/>
    <w:rsid w:val="005D0AE0"/>
    <w:rsid w:val="005D0D39"/>
    <w:rsid w:val="005D0D62"/>
    <w:rsid w:val="005D0D90"/>
    <w:rsid w:val="005D0DAE"/>
    <w:rsid w:val="005D1047"/>
    <w:rsid w:val="005D1123"/>
    <w:rsid w:val="005D1353"/>
    <w:rsid w:val="005D1374"/>
    <w:rsid w:val="005D149A"/>
    <w:rsid w:val="005D15E5"/>
    <w:rsid w:val="005D1925"/>
    <w:rsid w:val="005D1AF9"/>
    <w:rsid w:val="005D1C46"/>
    <w:rsid w:val="005D1CF0"/>
    <w:rsid w:val="005D1FAA"/>
    <w:rsid w:val="005D21E7"/>
    <w:rsid w:val="005D22A0"/>
    <w:rsid w:val="005D23C9"/>
    <w:rsid w:val="005D258D"/>
    <w:rsid w:val="005D27D3"/>
    <w:rsid w:val="005D29C7"/>
    <w:rsid w:val="005D2AC6"/>
    <w:rsid w:val="005D2AC9"/>
    <w:rsid w:val="005D2B02"/>
    <w:rsid w:val="005D2C8C"/>
    <w:rsid w:val="005D2DC7"/>
    <w:rsid w:val="005D2DE9"/>
    <w:rsid w:val="005D2E0E"/>
    <w:rsid w:val="005D324C"/>
    <w:rsid w:val="005D3717"/>
    <w:rsid w:val="005D39C6"/>
    <w:rsid w:val="005D39FE"/>
    <w:rsid w:val="005D3C95"/>
    <w:rsid w:val="005D3D6D"/>
    <w:rsid w:val="005D3F86"/>
    <w:rsid w:val="005D4211"/>
    <w:rsid w:val="005D4396"/>
    <w:rsid w:val="005D4427"/>
    <w:rsid w:val="005D44A7"/>
    <w:rsid w:val="005D47C3"/>
    <w:rsid w:val="005D496E"/>
    <w:rsid w:val="005D49D0"/>
    <w:rsid w:val="005D49D5"/>
    <w:rsid w:val="005D4D1C"/>
    <w:rsid w:val="005D4E30"/>
    <w:rsid w:val="005D543A"/>
    <w:rsid w:val="005D54AD"/>
    <w:rsid w:val="005D54D6"/>
    <w:rsid w:val="005D58CE"/>
    <w:rsid w:val="005D58F3"/>
    <w:rsid w:val="005D593C"/>
    <w:rsid w:val="005D5B7E"/>
    <w:rsid w:val="005D5E82"/>
    <w:rsid w:val="005D60BF"/>
    <w:rsid w:val="005D638E"/>
    <w:rsid w:val="005D6473"/>
    <w:rsid w:val="005D695C"/>
    <w:rsid w:val="005D6B63"/>
    <w:rsid w:val="005D6C3B"/>
    <w:rsid w:val="005D6DE1"/>
    <w:rsid w:val="005D6E72"/>
    <w:rsid w:val="005D6FAE"/>
    <w:rsid w:val="005D7334"/>
    <w:rsid w:val="005D7725"/>
    <w:rsid w:val="005D77E4"/>
    <w:rsid w:val="005D77F5"/>
    <w:rsid w:val="005E004A"/>
    <w:rsid w:val="005E00E2"/>
    <w:rsid w:val="005E02EE"/>
    <w:rsid w:val="005E0372"/>
    <w:rsid w:val="005E040A"/>
    <w:rsid w:val="005E057C"/>
    <w:rsid w:val="005E080D"/>
    <w:rsid w:val="005E0A5D"/>
    <w:rsid w:val="005E0BC9"/>
    <w:rsid w:val="005E0EFA"/>
    <w:rsid w:val="005E124B"/>
    <w:rsid w:val="005E1293"/>
    <w:rsid w:val="005E15B8"/>
    <w:rsid w:val="005E16B0"/>
    <w:rsid w:val="005E1891"/>
    <w:rsid w:val="005E1B6D"/>
    <w:rsid w:val="005E1C1A"/>
    <w:rsid w:val="005E1CC3"/>
    <w:rsid w:val="005E1CEF"/>
    <w:rsid w:val="005E1D06"/>
    <w:rsid w:val="005E1D76"/>
    <w:rsid w:val="005E1E37"/>
    <w:rsid w:val="005E1F81"/>
    <w:rsid w:val="005E219E"/>
    <w:rsid w:val="005E21E3"/>
    <w:rsid w:val="005E221A"/>
    <w:rsid w:val="005E29BC"/>
    <w:rsid w:val="005E2D72"/>
    <w:rsid w:val="005E2F84"/>
    <w:rsid w:val="005E301B"/>
    <w:rsid w:val="005E3110"/>
    <w:rsid w:val="005E32CC"/>
    <w:rsid w:val="005E33CE"/>
    <w:rsid w:val="005E3544"/>
    <w:rsid w:val="005E355A"/>
    <w:rsid w:val="005E3985"/>
    <w:rsid w:val="005E3996"/>
    <w:rsid w:val="005E3B84"/>
    <w:rsid w:val="005E3EAF"/>
    <w:rsid w:val="005E40BC"/>
    <w:rsid w:val="005E4151"/>
    <w:rsid w:val="005E4771"/>
    <w:rsid w:val="005E486E"/>
    <w:rsid w:val="005E4A9E"/>
    <w:rsid w:val="005E4B2F"/>
    <w:rsid w:val="005E4C0D"/>
    <w:rsid w:val="005E4C4A"/>
    <w:rsid w:val="005E4CF6"/>
    <w:rsid w:val="005E4D5C"/>
    <w:rsid w:val="005E4F29"/>
    <w:rsid w:val="005E4F69"/>
    <w:rsid w:val="005E50D4"/>
    <w:rsid w:val="005E51FE"/>
    <w:rsid w:val="005E524D"/>
    <w:rsid w:val="005E5537"/>
    <w:rsid w:val="005E55E8"/>
    <w:rsid w:val="005E5DCD"/>
    <w:rsid w:val="005E6228"/>
    <w:rsid w:val="005E6311"/>
    <w:rsid w:val="005E64EF"/>
    <w:rsid w:val="005E669D"/>
    <w:rsid w:val="005E67BA"/>
    <w:rsid w:val="005E67C3"/>
    <w:rsid w:val="005E6C0F"/>
    <w:rsid w:val="005E6D3C"/>
    <w:rsid w:val="005E6DDC"/>
    <w:rsid w:val="005E6E47"/>
    <w:rsid w:val="005E6EFE"/>
    <w:rsid w:val="005E7258"/>
    <w:rsid w:val="005E73E1"/>
    <w:rsid w:val="005E77E1"/>
    <w:rsid w:val="005E795D"/>
    <w:rsid w:val="005E7A37"/>
    <w:rsid w:val="005E7A5A"/>
    <w:rsid w:val="005E7DD4"/>
    <w:rsid w:val="005E7DDC"/>
    <w:rsid w:val="005E7ED9"/>
    <w:rsid w:val="005E7F1C"/>
    <w:rsid w:val="005E7F31"/>
    <w:rsid w:val="005F0103"/>
    <w:rsid w:val="005F0180"/>
    <w:rsid w:val="005F0287"/>
    <w:rsid w:val="005F02DA"/>
    <w:rsid w:val="005F091F"/>
    <w:rsid w:val="005F0922"/>
    <w:rsid w:val="005F0970"/>
    <w:rsid w:val="005F0A92"/>
    <w:rsid w:val="005F0CD8"/>
    <w:rsid w:val="005F0DEA"/>
    <w:rsid w:val="005F0EE4"/>
    <w:rsid w:val="005F0F77"/>
    <w:rsid w:val="005F106F"/>
    <w:rsid w:val="005F10AC"/>
    <w:rsid w:val="005F14C1"/>
    <w:rsid w:val="005F158F"/>
    <w:rsid w:val="005F161A"/>
    <w:rsid w:val="005F168C"/>
    <w:rsid w:val="005F16EC"/>
    <w:rsid w:val="005F17DC"/>
    <w:rsid w:val="005F1C11"/>
    <w:rsid w:val="005F1C1A"/>
    <w:rsid w:val="005F1F9C"/>
    <w:rsid w:val="005F2163"/>
    <w:rsid w:val="005F22D2"/>
    <w:rsid w:val="005F22FA"/>
    <w:rsid w:val="005F230E"/>
    <w:rsid w:val="005F230F"/>
    <w:rsid w:val="005F23F9"/>
    <w:rsid w:val="005F26B8"/>
    <w:rsid w:val="005F2AB0"/>
    <w:rsid w:val="005F2ABF"/>
    <w:rsid w:val="005F2D53"/>
    <w:rsid w:val="005F2DA1"/>
    <w:rsid w:val="005F31E2"/>
    <w:rsid w:val="005F34B7"/>
    <w:rsid w:val="005F3540"/>
    <w:rsid w:val="005F3726"/>
    <w:rsid w:val="005F3C6A"/>
    <w:rsid w:val="005F3E1D"/>
    <w:rsid w:val="005F3F72"/>
    <w:rsid w:val="005F3FA0"/>
    <w:rsid w:val="005F3FC1"/>
    <w:rsid w:val="005F40D7"/>
    <w:rsid w:val="005F4119"/>
    <w:rsid w:val="005F43A9"/>
    <w:rsid w:val="005F4BA2"/>
    <w:rsid w:val="005F4BD0"/>
    <w:rsid w:val="005F4EE7"/>
    <w:rsid w:val="005F51EA"/>
    <w:rsid w:val="005F55DE"/>
    <w:rsid w:val="005F55E1"/>
    <w:rsid w:val="005F5CB3"/>
    <w:rsid w:val="005F5F7F"/>
    <w:rsid w:val="005F600D"/>
    <w:rsid w:val="005F6403"/>
    <w:rsid w:val="005F6564"/>
    <w:rsid w:val="005F6775"/>
    <w:rsid w:val="005F6905"/>
    <w:rsid w:val="005F6B00"/>
    <w:rsid w:val="005F6C1B"/>
    <w:rsid w:val="005F6CEF"/>
    <w:rsid w:val="005F701F"/>
    <w:rsid w:val="005F704D"/>
    <w:rsid w:val="005F7264"/>
    <w:rsid w:val="005F7321"/>
    <w:rsid w:val="005F74CE"/>
    <w:rsid w:val="005F7506"/>
    <w:rsid w:val="005F755D"/>
    <w:rsid w:val="005F76C6"/>
    <w:rsid w:val="005F7964"/>
    <w:rsid w:val="005F7B2A"/>
    <w:rsid w:val="005F7BF9"/>
    <w:rsid w:val="005F7C63"/>
    <w:rsid w:val="005F7CA4"/>
    <w:rsid w:val="00600218"/>
    <w:rsid w:val="0060037B"/>
    <w:rsid w:val="006006C9"/>
    <w:rsid w:val="00600A01"/>
    <w:rsid w:val="00600C15"/>
    <w:rsid w:val="00600D64"/>
    <w:rsid w:val="00600D94"/>
    <w:rsid w:val="00600DF1"/>
    <w:rsid w:val="0060102A"/>
    <w:rsid w:val="00601039"/>
    <w:rsid w:val="006011CD"/>
    <w:rsid w:val="006013EA"/>
    <w:rsid w:val="00601457"/>
    <w:rsid w:val="00601460"/>
    <w:rsid w:val="0060157A"/>
    <w:rsid w:val="00601B6D"/>
    <w:rsid w:val="00601C7E"/>
    <w:rsid w:val="00601DF1"/>
    <w:rsid w:val="00601EF4"/>
    <w:rsid w:val="006022CE"/>
    <w:rsid w:val="00602403"/>
    <w:rsid w:val="006025F1"/>
    <w:rsid w:val="0060271C"/>
    <w:rsid w:val="006027E6"/>
    <w:rsid w:val="00602847"/>
    <w:rsid w:val="00602A77"/>
    <w:rsid w:val="00602A7F"/>
    <w:rsid w:val="00602A96"/>
    <w:rsid w:val="00602AA9"/>
    <w:rsid w:val="00602B88"/>
    <w:rsid w:val="00602D16"/>
    <w:rsid w:val="00602DAF"/>
    <w:rsid w:val="006031B1"/>
    <w:rsid w:val="006033BC"/>
    <w:rsid w:val="006033FB"/>
    <w:rsid w:val="0060344D"/>
    <w:rsid w:val="0060352C"/>
    <w:rsid w:val="00603689"/>
    <w:rsid w:val="0060370D"/>
    <w:rsid w:val="00603926"/>
    <w:rsid w:val="00603969"/>
    <w:rsid w:val="00603F8D"/>
    <w:rsid w:val="00604108"/>
    <w:rsid w:val="00604238"/>
    <w:rsid w:val="006042D2"/>
    <w:rsid w:val="00604471"/>
    <w:rsid w:val="0060457D"/>
    <w:rsid w:val="006047CF"/>
    <w:rsid w:val="0060489F"/>
    <w:rsid w:val="00604A3A"/>
    <w:rsid w:val="00604A3D"/>
    <w:rsid w:val="00604A48"/>
    <w:rsid w:val="00604BD4"/>
    <w:rsid w:val="00604C60"/>
    <w:rsid w:val="00604CC4"/>
    <w:rsid w:val="00604D06"/>
    <w:rsid w:val="00604DB5"/>
    <w:rsid w:val="00605313"/>
    <w:rsid w:val="0060537C"/>
    <w:rsid w:val="006054D4"/>
    <w:rsid w:val="00605B06"/>
    <w:rsid w:val="00605C0F"/>
    <w:rsid w:val="00605D3B"/>
    <w:rsid w:val="00605DA8"/>
    <w:rsid w:val="00605DAF"/>
    <w:rsid w:val="00605E3C"/>
    <w:rsid w:val="00605E73"/>
    <w:rsid w:val="00605FA4"/>
    <w:rsid w:val="006064A8"/>
    <w:rsid w:val="006064F0"/>
    <w:rsid w:val="006068D8"/>
    <w:rsid w:val="0060690F"/>
    <w:rsid w:val="00606AC6"/>
    <w:rsid w:val="00606CD0"/>
    <w:rsid w:val="00606E9A"/>
    <w:rsid w:val="00607084"/>
    <w:rsid w:val="006072BC"/>
    <w:rsid w:val="006072FD"/>
    <w:rsid w:val="0060732E"/>
    <w:rsid w:val="006073DC"/>
    <w:rsid w:val="00607488"/>
    <w:rsid w:val="006074D0"/>
    <w:rsid w:val="006075D5"/>
    <w:rsid w:val="006075F4"/>
    <w:rsid w:val="00607652"/>
    <w:rsid w:val="006077F5"/>
    <w:rsid w:val="006078C1"/>
    <w:rsid w:val="0060793A"/>
    <w:rsid w:val="0061027C"/>
    <w:rsid w:val="006103D3"/>
    <w:rsid w:val="006108C5"/>
    <w:rsid w:val="00610953"/>
    <w:rsid w:val="00610A0F"/>
    <w:rsid w:val="0061100F"/>
    <w:rsid w:val="006110B1"/>
    <w:rsid w:val="006110F7"/>
    <w:rsid w:val="0061110F"/>
    <w:rsid w:val="00611262"/>
    <w:rsid w:val="0061129C"/>
    <w:rsid w:val="006112A1"/>
    <w:rsid w:val="00611343"/>
    <w:rsid w:val="00611457"/>
    <w:rsid w:val="006114C5"/>
    <w:rsid w:val="00611526"/>
    <w:rsid w:val="00611925"/>
    <w:rsid w:val="006119C6"/>
    <w:rsid w:val="00611C3A"/>
    <w:rsid w:val="00611CCA"/>
    <w:rsid w:val="00611D2A"/>
    <w:rsid w:val="00611EA8"/>
    <w:rsid w:val="00611FAA"/>
    <w:rsid w:val="00612067"/>
    <w:rsid w:val="0061236E"/>
    <w:rsid w:val="006126D3"/>
    <w:rsid w:val="00612775"/>
    <w:rsid w:val="0061279C"/>
    <w:rsid w:val="00612893"/>
    <w:rsid w:val="00612A45"/>
    <w:rsid w:val="00612D17"/>
    <w:rsid w:val="00612F6D"/>
    <w:rsid w:val="006132C6"/>
    <w:rsid w:val="00613582"/>
    <w:rsid w:val="00613702"/>
    <w:rsid w:val="00613788"/>
    <w:rsid w:val="00613828"/>
    <w:rsid w:val="006140C7"/>
    <w:rsid w:val="0061427F"/>
    <w:rsid w:val="006145B1"/>
    <w:rsid w:val="006145E8"/>
    <w:rsid w:val="006147A9"/>
    <w:rsid w:val="006147D9"/>
    <w:rsid w:val="00614927"/>
    <w:rsid w:val="006149C3"/>
    <w:rsid w:val="006149F5"/>
    <w:rsid w:val="00614C4D"/>
    <w:rsid w:val="00615042"/>
    <w:rsid w:val="0061543D"/>
    <w:rsid w:val="006154E2"/>
    <w:rsid w:val="00615570"/>
    <w:rsid w:val="006155A5"/>
    <w:rsid w:val="006157B8"/>
    <w:rsid w:val="006158C1"/>
    <w:rsid w:val="00615E2D"/>
    <w:rsid w:val="00615EB8"/>
    <w:rsid w:val="00615F64"/>
    <w:rsid w:val="0061600F"/>
    <w:rsid w:val="0061604A"/>
    <w:rsid w:val="006160F6"/>
    <w:rsid w:val="00616128"/>
    <w:rsid w:val="00616437"/>
    <w:rsid w:val="00616495"/>
    <w:rsid w:val="006164CF"/>
    <w:rsid w:val="0061671A"/>
    <w:rsid w:val="0061675C"/>
    <w:rsid w:val="00616767"/>
    <w:rsid w:val="0061679F"/>
    <w:rsid w:val="00616912"/>
    <w:rsid w:val="00616C93"/>
    <w:rsid w:val="00616E7A"/>
    <w:rsid w:val="00616F9D"/>
    <w:rsid w:val="0061719D"/>
    <w:rsid w:val="00617267"/>
    <w:rsid w:val="0061727B"/>
    <w:rsid w:val="006176D9"/>
    <w:rsid w:val="0061780F"/>
    <w:rsid w:val="00617CB1"/>
    <w:rsid w:val="00617EEA"/>
    <w:rsid w:val="00617F21"/>
    <w:rsid w:val="00617F9E"/>
    <w:rsid w:val="00620141"/>
    <w:rsid w:val="006205FF"/>
    <w:rsid w:val="0062060D"/>
    <w:rsid w:val="00620621"/>
    <w:rsid w:val="0062093B"/>
    <w:rsid w:val="00620B16"/>
    <w:rsid w:val="00620B55"/>
    <w:rsid w:val="00620D31"/>
    <w:rsid w:val="00620D7F"/>
    <w:rsid w:val="00620E4B"/>
    <w:rsid w:val="00620F81"/>
    <w:rsid w:val="006211AD"/>
    <w:rsid w:val="00621227"/>
    <w:rsid w:val="00621416"/>
    <w:rsid w:val="00621575"/>
    <w:rsid w:val="00621658"/>
    <w:rsid w:val="00621675"/>
    <w:rsid w:val="006216BC"/>
    <w:rsid w:val="006216E2"/>
    <w:rsid w:val="00621784"/>
    <w:rsid w:val="00621B6F"/>
    <w:rsid w:val="00621C65"/>
    <w:rsid w:val="00621CD3"/>
    <w:rsid w:val="00621DA5"/>
    <w:rsid w:val="00621F0B"/>
    <w:rsid w:val="00621FA2"/>
    <w:rsid w:val="00621FD0"/>
    <w:rsid w:val="006224D9"/>
    <w:rsid w:val="00622721"/>
    <w:rsid w:val="00622B38"/>
    <w:rsid w:val="00622C02"/>
    <w:rsid w:val="00622C26"/>
    <w:rsid w:val="00622C89"/>
    <w:rsid w:val="00622D93"/>
    <w:rsid w:val="00622E01"/>
    <w:rsid w:val="006230ED"/>
    <w:rsid w:val="006230F9"/>
    <w:rsid w:val="00623106"/>
    <w:rsid w:val="0062342F"/>
    <w:rsid w:val="00623611"/>
    <w:rsid w:val="006237C9"/>
    <w:rsid w:val="006238B5"/>
    <w:rsid w:val="006238E4"/>
    <w:rsid w:val="00623AC8"/>
    <w:rsid w:val="00624194"/>
    <w:rsid w:val="00624299"/>
    <w:rsid w:val="006242BF"/>
    <w:rsid w:val="00624604"/>
    <w:rsid w:val="00624A13"/>
    <w:rsid w:val="00624AE3"/>
    <w:rsid w:val="00624B0C"/>
    <w:rsid w:val="00624C28"/>
    <w:rsid w:val="00624DB3"/>
    <w:rsid w:val="00624DD9"/>
    <w:rsid w:val="00625116"/>
    <w:rsid w:val="00625238"/>
    <w:rsid w:val="006252D4"/>
    <w:rsid w:val="006253E9"/>
    <w:rsid w:val="00625422"/>
    <w:rsid w:val="0062564D"/>
    <w:rsid w:val="0062587D"/>
    <w:rsid w:val="0062596E"/>
    <w:rsid w:val="006259EC"/>
    <w:rsid w:val="00625B4C"/>
    <w:rsid w:val="00625DC4"/>
    <w:rsid w:val="00625DF7"/>
    <w:rsid w:val="00625FA7"/>
    <w:rsid w:val="0062601C"/>
    <w:rsid w:val="00626096"/>
    <w:rsid w:val="006260E6"/>
    <w:rsid w:val="006261A7"/>
    <w:rsid w:val="006266CB"/>
    <w:rsid w:val="00626910"/>
    <w:rsid w:val="00626A4C"/>
    <w:rsid w:val="00626C9C"/>
    <w:rsid w:val="00626DD7"/>
    <w:rsid w:val="00626F9D"/>
    <w:rsid w:val="00627028"/>
    <w:rsid w:val="0062755E"/>
    <w:rsid w:val="00627B11"/>
    <w:rsid w:val="00627B7C"/>
    <w:rsid w:val="00627C81"/>
    <w:rsid w:val="00627CB8"/>
    <w:rsid w:val="00627D13"/>
    <w:rsid w:val="00627E55"/>
    <w:rsid w:val="00630044"/>
    <w:rsid w:val="00630094"/>
    <w:rsid w:val="00630130"/>
    <w:rsid w:val="0063015C"/>
    <w:rsid w:val="006301EC"/>
    <w:rsid w:val="00630357"/>
    <w:rsid w:val="00630625"/>
    <w:rsid w:val="006306BD"/>
    <w:rsid w:val="006307F8"/>
    <w:rsid w:val="00630821"/>
    <w:rsid w:val="0063084D"/>
    <w:rsid w:val="006308A3"/>
    <w:rsid w:val="00630BFB"/>
    <w:rsid w:val="00630E6E"/>
    <w:rsid w:val="00631090"/>
    <w:rsid w:val="006310E7"/>
    <w:rsid w:val="00631211"/>
    <w:rsid w:val="00631255"/>
    <w:rsid w:val="006312C5"/>
    <w:rsid w:val="006313B9"/>
    <w:rsid w:val="0063151A"/>
    <w:rsid w:val="00631875"/>
    <w:rsid w:val="00631982"/>
    <w:rsid w:val="00631BA9"/>
    <w:rsid w:val="00631DE5"/>
    <w:rsid w:val="00631E6F"/>
    <w:rsid w:val="00631EC0"/>
    <w:rsid w:val="00632004"/>
    <w:rsid w:val="00632667"/>
    <w:rsid w:val="006327A8"/>
    <w:rsid w:val="0063285A"/>
    <w:rsid w:val="006328BC"/>
    <w:rsid w:val="006328C2"/>
    <w:rsid w:val="00632A7A"/>
    <w:rsid w:val="00632AC8"/>
    <w:rsid w:val="00632B02"/>
    <w:rsid w:val="00632EC8"/>
    <w:rsid w:val="00633068"/>
    <w:rsid w:val="006331E3"/>
    <w:rsid w:val="006332AF"/>
    <w:rsid w:val="006333C6"/>
    <w:rsid w:val="00633550"/>
    <w:rsid w:val="0063356B"/>
    <w:rsid w:val="0063367E"/>
    <w:rsid w:val="0063393D"/>
    <w:rsid w:val="00633943"/>
    <w:rsid w:val="00633B77"/>
    <w:rsid w:val="0063439C"/>
    <w:rsid w:val="006345FE"/>
    <w:rsid w:val="006346C9"/>
    <w:rsid w:val="006347AF"/>
    <w:rsid w:val="00634810"/>
    <w:rsid w:val="00634838"/>
    <w:rsid w:val="006348AF"/>
    <w:rsid w:val="00634AC7"/>
    <w:rsid w:val="00634B29"/>
    <w:rsid w:val="00634D49"/>
    <w:rsid w:val="00635045"/>
    <w:rsid w:val="00635050"/>
    <w:rsid w:val="00635187"/>
    <w:rsid w:val="006352C9"/>
    <w:rsid w:val="00635307"/>
    <w:rsid w:val="00635595"/>
    <w:rsid w:val="00635612"/>
    <w:rsid w:val="00635797"/>
    <w:rsid w:val="0063585F"/>
    <w:rsid w:val="00635BB8"/>
    <w:rsid w:val="00635BFF"/>
    <w:rsid w:val="00635E24"/>
    <w:rsid w:val="006361AC"/>
    <w:rsid w:val="00636937"/>
    <w:rsid w:val="00636AB5"/>
    <w:rsid w:val="00636B95"/>
    <w:rsid w:val="00636C25"/>
    <w:rsid w:val="00636DF2"/>
    <w:rsid w:val="00636E2D"/>
    <w:rsid w:val="00637360"/>
    <w:rsid w:val="006373DE"/>
    <w:rsid w:val="00637732"/>
    <w:rsid w:val="00637823"/>
    <w:rsid w:val="00637A1E"/>
    <w:rsid w:val="00637AAC"/>
    <w:rsid w:val="00637B5A"/>
    <w:rsid w:val="00637CC7"/>
    <w:rsid w:val="00640065"/>
    <w:rsid w:val="0064008E"/>
    <w:rsid w:val="00640400"/>
    <w:rsid w:val="0064043E"/>
    <w:rsid w:val="00640446"/>
    <w:rsid w:val="00640510"/>
    <w:rsid w:val="00640876"/>
    <w:rsid w:val="0064092B"/>
    <w:rsid w:val="00640993"/>
    <w:rsid w:val="00640DEE"/>
    <w:rsid w:val="00641025"/>
    <w:rsid w:val="00641179"/>
    <w:rsid w:val="006413ED"/>
    <w:rsid w:val="0064151E"/>
    <w:rsid w:val="006415D6"/>
    <w:rsid w:val="00641A28"/>
    <w:rsid w:val="00641B22"/>
    <w:rsid w:val="00641B2E"/>
    <w:rsid w:val="00641C94"/>
    <w:rsid w:val="00641CB2"/>
    <w:rsid w:val="00641EB0"/>
    <w:rsid w:val="00641EF3"/>
    <w:rsid w:val="00641FAB"/>
    <w:rsid w:val="00641FFF"/>
    <w:rsid w:val="0064222E"/>
    <w:rsid w:val="006422C4"/>
    <w:rsid w:val="006425A6"/>
    <w:rsid w:val="006425FE"/>
    <w:rsid w:val="00642615"/>
    <w:rsid w:val="006427BF"/>
    <w:rsid w:val="00642A97"/>
    <w:rsid w:val="00642ABF"/>
    <w:rsid w:val="00642AC7"/>
    <w:rsid w:val="00642F58"/>
    <w:rsid w:val="00642F6C"/>
    <w:rsid w:val="0064300C"/>
    <w:rsid w:val="006431C9"/>
    <w:rsid w:val="006431F8"/>
    <w:rsid w:val="0064356F"/>
    <w:rsid w:val="0064372D"/>
    <w:rsid w:val="006438FF"/>
    <w:rsid w:val="0064398E"/>
    <w:rsid w:val="00643B14"/>
    <w:rsid w:val="00643C28"/>
    <w:rsid w:val="00643C44"/>
    <w:rsid w:val="00643D0F"/>
    <w:rsid w:val="00643DB9"/>
    <w:rsid w:val="00643E5A"/>
    <w:rsid w:val="00643FF0"/>
    <w:rsid w:val="00644412"/>
    <w:rsid w:val="006447A3"/>
    <w:rsid w:val="00644A97"/>
    <w:rsid w:val="00644B94"/>
    <w:rsid w:val="00644BB4"/>
    <w:rsid w:val="00644C62"/>
    <w:rsid w:val="00644CAF"/>
    <w:rsid w:val="00644D16"/>
    <w:rsid w:val="00644FDE"/>
    <w:rsid w:val="0064550E"/>
    <w:rsid w:val="0064558D"/>
    <w:rsid w:val="006456D4"/>
    <w:rsid w:val="00645926"/>
    <w:rsid w:val="0064593A"/>
    <w:rsid w:val="0064595E"/>
    <w:rsid w:val="00645D7D"/>
    <w:rsid w:val="00645E5F"/>
    <w:rsid w:val="0064604E"/>
    <w:rsid w:val="006461F0"/>
    <w:rsid w:val="00646545"/>
    <w:rsid w:val="006465C3"/>
    <w:rsid w:val="00646650"/>
    <w:rsid w:val="00646742"/>
    <w:rsid w:val="00646920"/>
    <w:rsid w:val="006469B1"/>
    <w:rsid w:val="00646C8F"/>
    <w:rsid w:val="00646CB8"/>
    <w:rsid w:val="00646DF6"/>
    <w:rsid w:val="00646E87"/>
    <w:rsid w:val="00646FBC"/>
    <w:rsid w:val="00646FD4"/>
    <w:rsid w:val="00647064"/>
    <w:rsid w:val="006474FD"/>
    <w:rsid w:val="0064754C"/>
    <w:rsid w:val="00647728"/>
    <w:rsid w:val="006477D5"/>
    <w:rsid w:val="00647A00"/>
    <w:rsid w:val="00647B1E"/>
    <w:rsid w:val="00647EA3"/>
    <w:rsid w:val="006505FE"/>
    <w:rsid w:val="006506E8"/>
    <w:rsid w:val="006507E5"/>
    <w:rsid w:val="00650902"/>
    <w:rsid w:val="00650A80"/>
    <w:rsid w:val="00650E02"/>
    <w:rsid w:val="00651075"/>
    <w:rsid w:val="006511B6"/>
    <w:rsid w:val="006511BE"/>
    <w:rsid w:val="00651382"/>
    <w:rsid w:val="006513C1"/>
    <w:rsid w:val="006513DC"/>
    <w:rsid w:val="006518C7"/>
    <w:rsid w:val="00651A87"/>
    <w:rsid w:val="00651ABE"/>
    <w:rsid w:val="00651AC1"/>
    <w:rsid w:val="00651B09"/>
    <w:rsid w:val="00651E3F"/>
    <w:rsid w:val="00651F12"/>
    <w:rsid w:val="0065227E"/>
    <w:rsid w:val="00652770"/>
    <w:rsid w:val="0065288A"/>
    <w:rsid w:val="006529FF"/>
    <w:rsid w:val="00652B27"/>
    <w:rsid w:val="00652B57"/>
    <w:rsid w:val="00652C52"/>
    <w:rsid w:val="00652E55"/>
    <w:rsid w:val="00652EA5"/>
    <w:rsid w:val="00653092"/>
    <w:rsid w:val="00653093"/>
    <w:rsid w:val="006530AF"/>
    <w:rsid w:val="006532FA"/>
    <w:rsid w:val="006534BC"/>
    <w:rsid w:val="0065350D"/>
    <w:rsid w:val="00653689"/>
    <w:rsid w:val="00653824"/>
    <w:rsid w:val="0065391E"/>
    <w:rsid w:val="00653C8F"/>
    <w:rsid w:val="00653D4F"/>
    <w:rsid w:val="00653EF8"/>
    <w:rsid w:val="00653FEA"/>
    <w:rsid w:val="006548E1"/>
    <w:rsid w:val="006548EC"/>
    <w:rsid w:val="006548FB"/>
    <w:rsid w:val="00654922"/>
    <w:rsid w:val="00654A44"/>
    <w:rsid w:val="00654C3B"/>
    <w:rsid w:val="00654CD3"/>
    <w:rsid w:val="00654DB4"/>
    <w:rsid w:val="00654ECC"/>
    <w:rsid w:val="00654FEC"/>
    <w:rsid w:val="006550D1"/>
    <w:rsid w:val="00655216"/>
    <w:rsid w:val="006553A6"/>
    <w:rsid w:val="006557FE"/>
    <w:rsid w:val="0065582A"/>
    <w:rsid w:val="006558A8"/>
    <w:rsid w:val="00655977"/>
    <w:rsid w:val="0065597D"/>
    <w:rsid w:val="006559E5"/>
    <w:rsid w:val="00655DC7"/>
    <w:rsid w:val="00655DFB"/>
    <w:rsid w:val="00655EAA"/>
    <w:rsid w:val="006561CC"/>
    <w:rsid w:val="00656266"/>
    <w:rsid w:val="00656446"/>
    <w:rsid w:val="00656683"/>
    <w:rsid w:val="00656844"/>
    <w:rsid w:val="00656A59"/>
    <w:rsid w:val="00656EBD"/>
    <w:rsid w:val="0065712F"/>
    <w:rsid w:val="00657306"/>
    <w:rsid w:val="0065760B"/>
    <w:rsid w:val="006576D8"/>
    <w:rsid w:val="00657793"/>
    <w:rsid w:val="006579AC"/>
    <w:rsid w:val="00657BD7"/>
    <w:rsid w:val="00657ECB"/>
    <w:rsid w:val="00657F6E"/>
    <w:rsid w:val="00660433"/>
    <w:rsid w:val="00660508"/>
    <w:rsid w:val="00660558"/>
    <w:rsid w:val="006605D9"/>
    <w:rsid w:val="006605E5"/>
    <w:rsid w:val="00660707"/>
    <w:rsid w:val="00660B60"/>
    <w:rsid w:val="00660D1B"/>
    <w:rsid w:val="00660F7C"/>
    <w:rsid w:val="006610B9"/>
    <w:rsid w:val="006612CB"/>
    <w:rsid w:val="00661345"/>
    <w:rsid w:val="00661625"/>
    <w:rsid w:val="0066168C"/>
    <w:rsid w:val="0066174A"/>
    <w:rsid w:val="00661E80"/>
    <w:rsid w:val="00661F10"/>
    <w:rsid w:val="00662328"/>
    <w:rsid w:val="00662370"/>
    <w:rsid w:val="0066240D"/>
    <w:rsid w:val="006625B6"/>
    <w:rsid w:val="006626D1"/>
    <w:rsid w:val="006627E9"/>
    <w:rsid w:val="0066281F"/>
    <w:rsid w:val="00662A5A"/>
    <w:rsid w:val="00662BE2"/>
    <w:rsid w:val="00662D3A"/>
    <w:rsid w:val="00662E5C"/>
    <w:rsid w:val="00662F70"/>
    <w:rsid w:val="00663011"/>
    <w:rsid w:val="00663190"/>
    <w:rsid w:val="0066332D"/>
    <w:rsid w:val="00663451"/>
    <w:rsid w:val="00663952"/>
    <w:rsid w:val="00663987"/>
    <w:rsid w:val="00663AEE"/>
    <w:rsid w:val="00663C7C"/>
    <w:rsid w:val="00663DC9"/>
    <w:rsid w:val="00663F5C"/>
    <w:rsid w:val="0066448E"/>
    <w:rsid w:val="00664AC1"/>
    <w:rsid w:val="00664BEC"/>
    <w:rsid w:val="00664BFC"/>
    <w:rsid w:val="00664D35"/>
    <w:rsid w:val="00664E0C"/>
    <w:rsid w:val="00664F44"/>
    <w:rsid w:val="00664F78"/>
    <w:rsid w:val="00665001"/>
    <w:rsid w:val="0066512C"/>
    <w:rsid w:val="006651C5"/>
    <w:rsid w:val="006653E2"/>
    <w:rsid w:val="00665624"/>
    <w:rsid w:val="006657DA"/>
    <w:rsid w:val="00665AA9"/>
    <w:rsid w:val="00665FEF"/>
    <w:rsid w:val="00666074"/>
    <w:rsid w:val="00666329"/>
    <w:rsid w:val="0066659F"/>
    <w:rsid w:val="006665FA"/>
    <w:rsid w:val="00666607"/>
    <w:rsid w:val="00666704"/>
    <w:rsid w:val="00666978"/>
    <w:rsid w:val="00666ACA"/>
    <w:rsid w:val="00666AD0"/>
    <w:rsid w:val="00666B96"/>
    <w:rsid w:val="00666E49"/>
    <w:rsid w:val="00667116"/>
    <w:rsid w:val="006673A6"/>
    <w:rsid w:val="00667666"/>
    <w:rsid w:val="006676AA"/>
    <w:rsid w:val="00667A14"/>
    <w:rsid w:val="00667F8B"/>
    <w:rsid w:val="00667FD4"/>
    <w:rsid w:val="0067002A"/>
    <w:rsid w:val="006701A6"/>
    <w:rsid w:val="00670399"/>
    <w:rsid w:val="00670640"/>
    <w:rsid w:val="0067069D"/>
    <w:rsid w:val="006706A2"/>
    <w:rsid w:val="00670728"/>
    <w:rsid w:val="006707F3"/>
    <w:rsid w:val="0067089E"/>
    <w:rsid w:val="0067091F"/>
    <w:rsid w:val="00671385"/>
    <w:rsid w:val="006714C8"/>
    <w:rsid w:val="006715AC"/>
    <w:rsid w:val="006715C8"/>
    <w:rsid w:val="00671A8B"/>
    <w:rsid w:val="00671AB7"/>
    <w:rsid w:val="00671B1E"/>
    <w:rsid w:val="00671BE8"/>
    <w:rsid w:val="00671D41"/>
    <w:rsid w:val="00671D63"/>
    <w:rsid w:val="00671D89"/>
    <w:rsid w:val="00671FA7"/>
    <w:rsid w:val="00672047"/>
    <w:rsid w:val="00672318"/>
    <w:rsid w:val="00672789"/>
    <w:rsid w:val="00672839"/>
    <w:rsid w:val="00672B2C"/>
    <w:rsid w:val="00672F05"/>
    <w:rsid w:val="006736FB"/>
    <w:rsid w:val="006737E3"/>
    <w:rsid w:val="00673B60"/>
    <w:rsid w:val="00673DA2"/>
    <w:rsid w:val="00673E20"/>
    <w:rsid w:val="0067402B"/>
    <w:rsid w:val="00674151"/>
    <w:rsid w:val="0067415A"/>
    <w:rsid w:val="00674212"/>
    <w:rsid w:val="006745FF"/>
    <w:rsid w:val="00674700"/>
    <w:rsid w:val="0067477E"/>
    <w:rsid w:val="006748F6"/>
    <w:rsid w:val="006749DD"/>
    <w:rsid w:val="00674D4D"/>
    <w:rsid w:val="00675410"/>
    <w:rsid w:val="00675954"/>
    <w:rsid w:val="00675AEF"/>
    <w:rsid w:val="00675B3D"/>
    <w:rsid w:val="00675F0F"/>
    <w:rsid w:val="00675FAF"/>
    <w:rsid w:val="006760D8"/>
    <w:rsid w:val="00676228"/>
    <w:rsid w:val="0067642E"/>
    <w:rsid w:val="00676464"/>
    <w:rsid w:val="00676699"/>
    <w:rsid w:val="006766B7"/>
    <w:rsid w:val="006768E9"/>
    <w:rsid w:val="00676AB6"/>
    <w:rsid w:val="00676C23"/>
    <w:rsid w:val="00676C36"/>
    <w:rsid w:val="00676C8B"/>
    <w:rsid w:val="00676D8D"/>
    <w:rsid w:val="00676DA0"/>
    <w:rsid w:val="00676EC3"/>
    <w:rsid w:val="00676FA0"/>
    <w:rsid w:val="00677047"/>
    <w:rsid w:val="006770F6"/>
    <w:rsid w:val="00677113"/>
    <w:rsid w:val="0067730F"/>
    <w:rsid w:val="00677479"/>
    <w:rsid w:val="00677AC0"/>
    <w:rsid w:val="00677CB0"/>
    <w:rsid w:val="00677CD0"/>
    <w:rsid w:val="0068001E"/>
    <w:rsid w:val="0068007B"/>
    <w:rsid w:val="006802CB"/>
    <w:rsid w:val="00680462"/>
    <w:rsid w:val="0068051F"/>
    <w:rsid w:val="00680536"/>
    <w:rsid w:val="006806B5"/>
    <w:rsid w:val="006808F9"/>
    <w:rsid w:val="00680A63"/>
    <w:rsid w:val="00680A7D"/>
    <w:rsid w:val="00680D91"/>
    <w:rsid w:val="00680EFB"/>
    <w:rsid w:val="00680F03"/>
    <w:rsid w:val="00680F1E"/>
    <w:rsid w:val="006810D2"/>
    <w:rsid w:val="00681120"/>
    <w:rsid w:val="0068115A"/>
    <w:rsid w:val="0068143D"/>
    <w:rsid w:val="006816E6"/>
    <w:rsid w:val="006818DC"/>
    <w:rsid w:val="006819AD"/>
    <w:rsid w:val="00681A59"/>
    <w:rsid w:val="00681B60"/>
    <w:rsid w:val="00681C66"/>
    <w:rsid w:val="00681F6F"/>
    <w:rsid w:val="006820A7"/>
    <w:rsid w:val="006823D2"/>
    <w:rsid w:val="0068242D"/>
    <w:rsid w:val="006825F0"/>
    <w:rsid w:val="006827D3"/>
    <w:rsid w:val="00682BF3"/>
    <w:rsid w:val="00682BFC"/>
    <w:rsid w:val="00682C1B"/>
    <w:rsid w:val="00682D72"/>
    <w:rsid w:val="00682DA7"/>
    <w:rsid w:val="00682F65"/>
    <w:rsid w:val="00682FF0"/>
    <w:rsid w:val="006830AD"/>
    <w:rsid w:val="00683676"/>
    <w:rsid w:val="006837A2"/>
    <w:rsid w:val="006837FF"/>
    <w:rsid w:val="00683A5E"/>
    <w:rsid w:val="00683ACB"/>
    <w:rsid w:val="00683B1E"/>
    <w:rsid w:val="00683B4A"/>
    <w:rsid w:val="00683C71"/>
    <w:rsid w:val="00683C79"/>
    <w:rsid w:val="00683EBE"/>
    <w:rsid w:val="00683F3C"/>
    <w:rsid w:val="006840F7"/>
    <w:rsid w:val="006842AF"/>
    <w:rsid w:val="006843BC"/>
    <w:rsid w:val="006843FD"/>
    <w:rsid w:val="006844CD"/>
    <w:rsid w:val="006846DC"/>
    <w:rsid w:val="006846FD"/>
    <w:rsid w:val="00684A64"/>
    <w:rsid w:val="00684BE6"/>
    <w:rsid w:val="00684C21"/>
    <w:rsid w:val="00684C4D"/>
    <w:rsid w:val="00684CCC"/>
    <w:rsid w:val="00684D5A"/>
    <w:rsid w:val="006851EC"/>
    <w:rsid w:val="006851FE"/>
    <w:rsid w:val="006852B4"/>
    <w:rsid w:val="006853CF"/>
    <w:rsid w:val="0068543B"/>
    <w:rsid w:val="006855EF"/>
    <w:rsid w:val="006857F2"/>
    <w:rsid w:val="00685840"/>
    <w:rsid w:val="00685923"/>
    <w:rsid w:val="00685985"/>
    <w:rsid w:val="00685BA9"/>
    <w:rsid w:val="00685D27"/>
    <w:rsid w:val="00685DA6"/>
    <w:rsid w:val="00686074"/>
    <w:rsid w:val="006861F1"/>
    <w:rsid w:val="0068635A"/>
    <w:rsid w:val="00686363"/>
    <w:rsid w:val="006865A4"/>
    <w:rsid w:val="00686747"/>
    <w:rsid w:val="00686795"/>
    <w:rsid w:val="006867F2"/>
    <w:rsid w:val="0068695D"/>
    <w:rsid w:val="006869DC"/>
    <w:rsid w:val="00686B1A"/>
    <w:rsid w:val="00686B97"/>
    <w:rsid w:val="00686EE2"/>
    <w:rsid w:val="006870B3"/>
    <w:rsid w:val="006870E8"/>
    <w:rsid w:val="006872FB"/>
    <w:rsid w:val="00687562"/>
    <w:rsid w:val="00687587"/>
    <w:rsid w:val="006876F6"/>
    <w:rsid w:val="006876FD"/>
    <w:rsid w:val="00687702"/>
    <w:rsid w:val="00687730"/>
    <w:rsid w:val="00687950"/>
    <w:rsid w:val="00687CA7"/>
    <w:rsid w:val="00687D24"/>
    <w:rsid w:val="00687E3E"/>
    <w:rsid w:val="00687F32"/>
    <w:rsid w:val="006900DD"/>
    <w:rsid w:val="0069024F"/>
    <w:rsid w:val="0069072B"/>
    <w:rsid w:val="0069094E"/>
    <w:rsid w:val="006909EF"/>
    <w:rsid w:val="00690CC2"/>
    <w:rsid w:val="00690D05"/>
    <w:rsid w:val="00690D1F"/>
    <w:rsid w:val="00690D37"/>
    <w:rsid w:val="00690E2A"/>
    <w:rsid w:val="0069130D"/>
    <w:rsid w:val="006916CA"/>
    <w:rsid w:val="006918A2"/>
    <w:rsid w:val="006918EA"/>
    <w:rsid w:val="00691964"/>
    <w:rsid w:val="006919D0"/>
    <w:rsid w:val="00691CE4"/>
    <w:rsid w:val="00691CF2"/>
    <w:rsid w:val="00692105"/>
    <w:rsid w:val="0069235D"/>
    <w:rsid w:val="0069245D"/>
    <w:rsid w:val="0069257B"/>
    <w:rsid w:val="00692796"/>
    <w:rsid w:val="00692B68"/>
    <w:rsid w:val="006931AD"/>
    <w:rsid w:val="00693293"/>
    <w:rsid w:val="0069342A"/>
    <w:rsid w:val="00693465"/>
    <w:rsid w:val="00693523"/>
    <w:rsid w:val="00693547"/>
    <w:rsid w:val="00693622"/>
    <w:rsid w:val="0069379D"/>
    <w:rsid w:val="00693844"/>
    <w:rsid w:val="00693857"/>
    <w:rsid w:val="006942D3"/>
    <w:rsid w:val="006943BB"/>
    <w:rsid w:val="0069447A"/>
    <w:rsid w:val="006944C5"/>
    <w:rsid w:val="00694714"/>
    <w:rsid w:val="006947E2"/>
    <w:rsid w:val="0069485D"/>
    <w:rsid w:val="00694961"/>
    <w:rsid w:val="00694967"/>
    <w:rsid w:val="006949A8"/>
    <w:rsid w:val="00694A2C"/>
    <w:rsid w:val="00694C4C"/>
    <w:rsid w:val="00694C73"/>
    <w:rsid w:val="00694C9F"/>
    <w:rsid w:val="00694CA8"/>
    <w:rsid w:val="00694D08"/>
    <w:rsid w:val="00694E41"/>
    <w:rsid w:val="006954B2"/>
    <w:rsid w:val="00695729"/>
    <w:rsid w:val="00695777"/>
    <w:rsid w:val="00695C49"/>
    <w:rsid w:val="00695D31"/>
    <w:rsid w:val="00696008"/>
    <w:rsid w:val="0069604C"/>
    <w:rsid w:val="00696315"/>
    <w:rsid w:val="00696497"/>
    <w:rsid w:val="006966A3"/>
    <w:rsid w:val="0069670E"/>
    <w:rsid w:val="006967A6"/>
    <w:rsid w:val="00696960"/>
    <w:rsid w:val="00696996"/>
    <w:rsid w:val="00696A6C"/>
    <w:rsid w:val="00696B89"/>
    <w:rsid w:val="00696BB1"/>
    <w:rsid w:val="00696C21"/>
    <w:rsid w:val="00696D2E"/>
    <w:rsid w:val="00696E31"/>
    <w:rsid w:val="00696EC2"/>
    <w:rsid w:val="00696F62"/>
    <w:rsid w:val="00696F8D"/>
    <w:rsid w:val="00696FAA"/>
    <w:rsid w:val="0069705E"/>
    <w:rsid w:val="00697430"/>
    <w:rsid w:val="00697A60"/>
    <w:rsid w:val="00697B96"/>
    <w:rsid w:val="00697BE9"/>
    <w:rsid w:val="00697FB5"/>
    <w:rsid w:val="006A00E3"/>
    <w:rsid w:val="006A033B"/>
    <w:rsid w:val="006A0482"/>
    <w:rsid w:val="006A04FB"/>
    <w:rsid w:val="006A073B"/>
    <w:rsid w:val="006A0CCD"/>
    <w:rsid w:val="006A118D"/>
    <w:rsid w:val="006A119E"/>
    <w:rsid w:val="006A128E"/>
    <w:rsid w:val="006A1410"/>
    <w:rsid w:val="006A1809"/>
    <w:rsid w:val="006A18EC"/>
    <w:rsid w:val="006A1A2D"/>
    <w:rsid w:val="006A1B4A"/>
    <w:rsid w:val="006A1C26"/>
    <w:rsid w:val="006A221E"/>
    <w:rsid w:val="006A2245"/>
    <w:rsid w:val="006A2282"/>
    <w:rsid w:val="006A23C9"/>
    <w:rsid w:val="006A2562"/>
    <w:rsid w:val="006A2808"/>
    <w:rsid w:val="006A290B"/>
    <w:rsid w:val="006A29F8"/>
    <w:rsid w:val="006A29FB"/>
    <w:rsid w:val="006A2BDC"/>
    <w:rsid w:val="006A2D59"/>
    <w:rsid w:val="006A2E63"/>
    <w:rsid w:val="006A2FE9"/>
    <w:rsid w:val="006A30A8"/>
    <w:rsid w:val="006A3101"/>
    <w:rsid w:val="006A319E"/>
    <w:rsid w:val="006A3246"/>
    <w:rsid w:val="006A3AE4"/>
    <w:rsid w:val="006A3B21"/>
    <w:rsid w:val="006A3EA7"/>
    <w:rsid w:val="006A4004"/>
    <w:rsid w:val="006A43D5"/>
    <w:rsid w:val="006A442D"/>
    <w:rsid w:val="006A45D1"/>
    <w:rsid w:val="006A4641"/>
    <w:rsid w:val="006A4768"/>
    <w:rsid w:val="006A476F"/>
    <w:rsid w:val="006A4947"/>
    <w:rsid w:val="006A4957"/>
    <w:rsid w:val="006A4BA7"/>
    <w:rsid w:val="006A4C2C"/>
    <w:rsid w:val="006A4CC8"/>
    <w:rsid w:val="006A4E7F"/>
    <w:rsid w:val="006A4EB3"/>
    <w:rsid w:val="006A5099"/>
    <w:rsid w:val="006A50D4"/>
    <w:rsid w:val="006A539B"/>
    <w:rsid w:val="006A53DC"/>
    <w:rsid w:val="006A547B"/>
    <w:rsid w:val="006A555A"/>
    <w:rsid w:val="006A5874"/>
    <w:rsid w:val="006A5900"/>
    <w:rsid w:val="006A5DA6"/>
    <w:rsid w:val="006A5EE7"/>
    <w:rsid w:val="006A5F85"/>
    <w:rsid w:val="006A620A"/>
    <w:rsid w:val="006A6486"/>
    <w:rsid w:val="006A6491"/>
    <w:rsid w:val="006A6598"/>
    <w:rsid w:val="006A6599"/>
    <w:rsid w:val="006A6715"/>
    <w:rsid w:val="006A6718"/>
    <w:rsid w:val="006A69B2"/>
    <w:rsid w:val="006A6D39"/>
    <w:rsid w:val="006A6E31"/>
    <w:rsid w:val="006A7529"/>
    <w:rsid w:val="006A784F"/>
    <w:rsid w:val="006A7A48"/>
    <w:rsid w:val="006A7ADD"/>
    <w:rsid w:val="006A7C3C"/>
    <w:rsid w:val="006A7D70"/>
    <w:rsid w:val="006B00A8"/>
    <w:rsid w:val="006B01B1"/>
    <w:rsid w:val="006B047F"/>
    <w:rsid w:val="006B05CB"/>
    <w:rsid w:val="006B0BB2"/>
    <w:rsid w:val="006B0C47"/>
    <w:rsid w:val="006B0C85"/>
    <w:rsid w:val="006B0FE6"/>
    <w:rsid w:val="006B0FF7"/>
    <w:rsid w:val="006B1072"/>
    <w:rsid w:val="006B11C6"/>
    <w:rsid w:val="006B162A"/>
    <w:rsid w:val="006B1954"/>
    <w:rsid w:val="006B1A0F"/>
    <w:rsid w:val="006B1A91"/>
    <w:rsid w:val="006B1B13"/>
    <w:rsid w:val="006B1CCE"/>
    <w:rsid w:val="006B1D23"/>
    <w:rsid w:val="006B1DA9"/>
    <w:rsid w:val="006B1E2F"/>
    <w:rsid w:val="006B1EEF"/>
    <w:rsid w:val="006B20C7"/>
    <w:rsid w:val="006B20D6"/>
    <w:rsid w:val="006B232A"/>
    <w:rsid w:val="006B2385"/>
    <w:rsid w:val="006B2470"/>
    <w:rsid w:val="006B24C9"/>
    <w:rsid w:val="006B24DC"/>
    <w:rsid w:val="006B2512"/>
    <w:rsid w:val="006B25BE"/>
    <w:rsid w:val="006B25C3"/>
    <w:rsid w:val="006B25FE"/>
    <w:rsid w:val="006B3002"/>
    <w:rsid w:val="006B3052"/>
    <w:rsid w:val="006B30A2"/>
    <w:rsid w:val="006B3306"/>
    <w:rsid w:val="006B3379"/>
    <w:rsid w:val="006B3572"/>
    <w:rsid w:val="006B3689"/>
    <w:rsid w:val="006B3906"/>
    <w:rsid w:val="006B3912"/>
    <w:rsid w:val="006B391A"/>
    <w:rsid w:val="006B39F1"/>
    <w:rsid w:val="006B3A0E"/>
    <w:rsid w:val="006B3C19"/>
    <w:rsid w:val="006B3E76"/>
    <w:rsid w:val="006B3EF8"/>
    <w:rsid w:val="006B3F59"/>
    <w:rsid w:val="006B40CA"/>
    <w:rsid w:val="006B40DC"/>
    <w:rsid w:val="006B4154"/>
    <w:rsid w:val="006B420F"/>
    <w:rsid w:val="006B499A"/>
    <w:rsid w:val="006B4B21"/>
    <w:rsid w:val="006B4F38"/>
    <w:rsid w:val="006B504A"/>
    <w:rsid w:val="006B5323"/>
    <w:rsid w:val="006B54F4"/>
    <w:rsid w:val="006B562C"/>
    <w:rsid w:val="006B565C"/>
    <w:rsid w:val="006B59D7"/>
    <w:rsid w:val="006B5C49"/>
    <w:rsid w:val="006B5DEE"/>
    <w:rsid w:val="006B5E61"/>
    <w:rsid w:val="006B6098"/>
    <w:rsid w:val="006B61CA"/>
    <w:rsid w:val="006B62A5"/>
    <w:rsid w:val="006B6403"/>
    <w:rsid w:val="006B6467"/>
    <w:rsid w:val="006B6557"/>
    <w:rsid w:val="006B66DE"/>
    <w:rsid w:val="006B678A"/>
    <w:rsid w:val="006B6947"/>
    <w:rsid w:val="006B6A4F"/>
    <w:rsid w:val="006B6BAC"/>
    <w:rsid w:val="006B6BC2"/>
    <w:rsid w:val="006B6C54"/>
    <w:rsid w:val="006B6CA0"/>
    <w:rsid w:val="006B76ED"/>
    <w:rsid w:val="006B796B"/>
    <w:rsid w:val="006B79A5"/>
    <w:rsid w:val="006B7A34"/>
    <w:rsid w:val="006B7C1F"/>
    <w:rsid w:val="006B7C62"/>
    <w:rsid w:val="006B7C67"/>
    <w:rsid w:val="006B7C77"/>
    <w:rsid w:val="006B7FF0"/>
    <w:rsid w:val="006C00FF"/>
    <w:rsid w:val="006C0150"/>
    <w:rsid w:val="006C047B"/>
    <w:rsid w:val="006C04C7"/>
    <w:rsid w:val="006C07E6"/>
    <w:rsid w:val="006C08E0"/>
    <w:rsid w:val="006C0C6F"/>
    <w:rsid w:val="006C0C8B"/>
    <w:rsid w:val="006C0D01"/>
    <w:rsid w:val="006C0E8E"/>
    <w:rsid w:val="006C0F04"/>
    <w:rsid w:val="006C0F84"/>
    <w:rsid w:val="006C11D1"/>
    <w:rsid w:val="006C1318"/>
    <w:rsid w:val="006C1392"/>
    <w:rsid w:val="006C14A8"/>
    <w:rsid w:val="006C157E"/>
    <w:rsid w:val="006C15CE"/>
    <w:rsid w:val="006C15F7"/>
    <w:rsid w:val="006C169D"/>
    <w:rsid w:val="006C192F"/>
    <w:rsid w:val="006C1CE2"/>
    <w:rsid w:val="006C1DB2"/>
    <w:rsid w:val="006C1F54"/>
    <w:rsid w:val="006C20BB"/>
    <w:rsid w:val="006C2283"/>
    <w:rsid w:val="006C24BD"/>
    <w:rsid w:val="006C2876"/>
    <w:rsid w:val="006C2930"/>
    <w:rsid w:val="006C2A7B"/>
    <w:rsid w:val="006C2C0B"/>
    <w:rsid w:val="006C2C48"/>
    <w:rsid w:val="006C2D98"/>
    <w:rsid w:val="006C314E"/>
    <w:rsid w:val="006C318B"/>
    <w:rsid w:val="006C36BC"/>
    <w:rsid w:val="006C38FE"/>
    <w:rsid w:val="006C392E"/>
    <w:rsid w:val="006C4025"/>
    <w:rsid w:val="006C428C"/>
    <w:rsid w:val="006C42FF"/>
    <w:rsid w:val="006C44A1"/>
    <w:rsid w:val="006C44AE"/>
    <w:rsid w:val="006C4910"/>
    <w:rsid w:val="006C4B67"/>
    <w:rsid w:val="006C4DBF"/>
    <w:rsid w:val="006C4E23"/>
    <w:rsid w:val="006C4E2B"/>
    <w:rsid w:val="006C4E3C"/>
    <w:rsid w:val="006C50F2"/>
    <w:rsid w:val="006C53C7"/>
    <w:rsid w:val="006C53C8"/>
    <w:rsid w:val="006C560F"/>
    <w:rsid w:val="006C57DA"/>
    <w:rsid w:val="006C5CF8"/>
    <w:rsid w:val="006C5D6A"/>
    <w:rsid w:val="006C6030"/>
    <w:rsid w:val="006C60DA"/>
    <w:rsid w:val="006C6109"/>
    <w:rsid w:val="006C6235"/>
    <w:rsid w:val="006C66AB"/>
    <w:rsid w:val="006C682C"/>
    <w:rsid w:val="006C697E"/>
    <w:rsid w:val="006C69BD"/>
    <w:rsid w:val="006C69CE"/>
    <w:rsid w:val="006C6A33"/>
    <w:rsid w:val="006C6B04"/>
    <w:rsid w:val="006C6CB7"/>
    <w:rsid w:val="006C6D71"/>
    <w:rsid w:val="006C6F03"/>
    <w:rsid w:val="006C7046"/>
    <w:rsid w:val="006C726C"/>
    <w:rsid w:val="006C7394"/>
    <w:rsid w:val="006C74BB"/>
    <w:rsid w:val="006C75CB"/>
    <w:rsid w:val="006C764F"/>
    <w:rsid w:val="006C7847"/>
    <w:rsid w:val="006C7DDF"/>
    <w:rsid w:val="006C7E39"/>
    <w:rsid w:val="006C7E57"/>
    <w:rsid w:val="006C7E8B"/>
    <w:rsid w:val="006D003D"/>
    <w:rsid w:val="006D006A"/>
    <w:rsid w:val="006D00B5"/>
    <w:rsid w:val="006D015F"/>
    <w:rsid w:val="006D0481"/>
    <w:rsid w:val="006D05FC"/>
    <w:rsid w:val="006D060A"/>
    <w:rsid w:val="006D080B"/>
    <w:rsid w:val="006D0B5D"/>
    <w:rsid w:val="006D0B9F"/>
    <w:rsid w:val="006D0BF1"/>
    <w:rsid w:val="006D1058"/>
    <w:rsid w:val="006D10C6"/>
    <w:rsid w:val="006D124B"/>
    <w:rsid w:val="006D129C"/>
    <w:rsid w:val="006D143D"/>
    <w:rsid w:val="006D14F3"/>
    <w:rsid w:val="006D15D4"/>
    <w:rsid w:val="006D1634"/>
    <w:rsid w:val="006D18FA"/>
    <w:rsid w:val="006D190C"/>
    <w:rsid w:val="006D1967"/>
    <w:rsid w:val="006D1999"/>
    <w:rsid w:val="006D19CB"/>
    <w:rsid w:val="006D1AEC"/>
    <w:rsid w:val="006D1D07"/>
    <w:rsid w:val="006D1F96"/>
    <w:rsid w:val="006D22F4"/>
    <w:rsid w:val="006D2311"/>
    <w:rsid w:val="006D2512"/>
    <w:rsid w:val="006D264D"/>
    <w:rsid w:val="006D27AC"/>
    <w:rsid w:val="006D2840"/>
    <w:rsid w:val="006D2853"/>
    <w:rsid w:val="006D2A1B"/>
    <w:rsid w:val="006D2C5B"/>
    <w:rsid w:val="006D2CC4"/>
    <w:rsid w:val="006D2CEF"/>
    <w:rsid w:val="006D2CFB"/>
    <w:rsid w:val="006D3013"/>
    <w:rsid w:val="006D30A5"/>
    <w:rsid w:val="006D32F6"/>
    <w:rsid w:val="006D3465"/>
    <w:rsid w:val="006D3480"/>
    <w:rsid w:val="006D3626"/>
    <w:rsid w:val="006D38EB"/>
    <w:rsid w:val="006D3B34"/>
    <w:rsid w:val="006D3B81"/>
    <w:rsid w:val="006D3CC1"/>
    <w:rsid w:val="006D3D14"/>
    <w:rsid w:val="006D3E69"/>
    <w:rsid w:val="006D3FF9"/>
    <w:rsid w:val="006D43C1"/>
    <w:rsid w:val="006D43DE"/>
    <w:rsid w:val="006D44BF"/>
    <w:rsid w:val="006D459A"/>
    <w:rsid w:val="006D4683"/>
    <w:rsid w:val="006D46C7"/>
    <w:rsid w:val="006D48E1"/>
    <w:rsid w:val="006D4BD2"/>
    <w:rsid w:val="006D4BF2"/>
    <w:rsid w:val="006D4CDD"/>
    <w:rsid w:val="006D4D72"/>
    <w:rsid w:val="006D4F97"/>
    <w:rsid w:val="006D4FD4"/>
    <w:rsid w:val="006D5193"/>
    <w:rsid w:val="006D5243"/>
    <w:rsid w:val="006D55D9"/>
    <w:rsid w:val="006D58E8"/>
    <w:rsid w:val="006D5A40"/>
    <w:rsid w:val="006D5B9B"/>
    <w:rsid w:val="006D5F1C"/>
    <w:rsid w:val="006D5FBD"/>
    <w:rsid w:val="006D6001"/>
    <w:rsid w:val="006D604D"/>
    <w:rsid w:val="006D6142"/>
    <w:rsid w:val="006D6772"/>
    <w:rsid w:val="006D67DD"/>
    <w:rsid w:val="006D68CE"/>
    <w:rsid w:val="006D6ACC"/>
    <w:rsid w:val="006D6B04"/>
    <w:rsid w:val="006D6B8C"/>
    <w:rsid w:val="006D6C7C"/>
    <w:rsid w:val="006D6F0B"/>
    <w:rsid w:val="006D6F1C"/>
    <w:rsid w:val="006D733D"/>
    <w:rsid w:val="006D7401"/>
    <w:rsid w:val="006D75AD"/>
    <w:rsid w:val="006D76EB"/>
    <w:rsid w:val="006D7785"/>
    <w:rsid w:val="006D7820"/>
    <w:rsid w:val="006D7839"/>
    <w:rsid w:val="006D79E6"/>
    <w:rsid w:val="006E00F5"/>
    <w:rsid w:val="006E03CF"/>
    <w:rsid w:val="006E03DB"/>
    <w:rsid w:val="006E0448"/>
    <w:rsid w:val="006E05AF"/>
    <w:rsid w:val="006E06C7"/>
    <w:rsid w:val="006E094C"/>
    <w:rsid w:val="006E0A25"/>
    <w:rsid w:val="006E0A5F"/>
    <w:rsid w:val="006E0D99"/>
    <w:rsid w:val="006E1322"/>
    <w:rsid w:val="006E1341"/>
    <w:rsid w:val="006E14EF"/>
    <w:rsid w:val="006E17C2"/>
    <w:rsid w:val="006E18DF"/>
    <w:rsid w:val="006E1A16"/>
    <w:rsid w:val="006E1BC7"/>
    <w:rsid w:val="006E1BE0"/>
    <w:rsid w:val="006E1CA9"/>
    <w:rsid w:val="006E1D53"/>
    <w:rsid w:val="006E1E21"/>
    <w:rsid w:val="006E1E39"/>
    <w:rsid w:val="006E1E42"/>
    <w:rsid w:val="006E20FB"/>
    <w:rsid w:val="006E22E8"/>
    <w:rsid w:val="006E2376"/>
    <w:rsid w:val="006E254F"/>
    <w:rsid w:val="006E2635"/>
    <w:rsid w:val="006E2C3E"/>
    <w:rsid w:val="006E2CE8"/>
    <w:rsid w:val="006E2DB5"/>
    <w:rsid w:val="006E2E60"/>
    <w:rsid w:val="006E2F61"/>
    <w:rsid w:val="006E330A"/>
    <w:rsid w:val="006E34BD"/>
    <w:rsid w:val="006E3505"/>
    <w:rsid w:val="006E35BA"/>
    <w:rsid w:val="006E35F8"/>
    <w:rsid w:val="006E3F62"/>
    <w:rsid w:val="006E4036"/>
    <w:rsid w:val="006E408B"/>
    <w:rsid w:val="006E446A"/>
    <w:rsid w:val="006E45C6"/>
    <w:rsid w:val="006E467C"/>
    <w:rsid w:val="006E46F7"/>
    <w:rsid w:val="006E4783"/>
    <w:rsid w:val="006E4819"/>
    <w:rsid w:val="006E4864"/>
    <w:rsid w:val="006E4962"/>
    <w:rsid w:val="006E49D4"/>
    <w:rsid w:val="006E4A23"/>
    <w:rsid w:val="006E4CE3"/>
    <w:rsid w:val="006E4E4D"/>
    <w:rsid w:val="006E4F3B"/>
    <w:rsid w:val="006E4F5E"/>
    <w:rsid w:val="006E5009"/>
    <w:rsid w:val="006E518F"/>
    <w:rsid w:val="006E5249"/>
    <w:rsid w:val="006E5313"/>
    <w:rsid w:val="006E53CD"/>
    <w:rsid w:val="006E5498"/>
    <w:rsid w:val="006E560B"/>
    <w:rsid w:val="006E561A"/>
    <w:rsid w:val="006E592F"/>
    <w:rsid w:val="006E5AEA"/>
    <w:rsid w:val="006E5C01"/>
    <w:rsid w:val="006E5C42"/>
    <w:rsid w:val="006E5D38"/>
    <w:rsid w:val="006E6038"/>
    <w:rsid w:val="006E61E1"/>
    <w:rsid w:val="006E62A3"/>
    <w:rsid w:val="006E6630"/>
    <w:rsid w:val="006E66DE"/>
    <w:rsid w:val="006E6A85"/>
    <w:rsid w:val="006E6B75"/>
    <w:rsid w:val="006E6E25"/>
    <w:rsid w:val="006E6EE0"/>
    <w:rsid w:val="006E76F8"/>
    <w:rsid w:val="006E788C"/>
    <w:rsid w:val="006E79AF"/>
    <w:rsid w:val="006E7B75"/>
    <w:rsid w:val="006F018C"/>
    <w:rsid w:val="006F0388"/>
    <w:rsid w:val="006F0496"/>
    <w:rsid w:val="006F0589"/>
    <w:rsid w:val="006F0684"/>
    <w:rsid w:val="006F082A"/>
    <w:rsid w:val="006F085C"/>
    <w:rsid w:val="006F0AB8"/>
    <w:rsid w:val="006F0B45"/>
    <w:rsid w:val="006F0C1F"/>
    <w:rsid w:val="006F0DF9"/>
    <w:rsid w:val="006F0E58"/>
    <w:rsid w:val="006F0F92"/>
    <w:rsid w:val="006F105C"/>
    <w:rsid w:val="006F1129"/>
    <w:rsid w:val="006F1161"/>
    <w:rsid w:val="006F1185"/>
    <w:rsid w:val="006F11B6"/>
    <w:rsid w:val="006F138E"/>
    <w:rsid w:val="006F143A"/>
    <w:rsid w:val="006F1591"/>
    <w:rsid w:val="006F15CE"/>
    <w:rsid w:val="006F15DD"/>
    <w:rsid w:val="006F1644"/>
    <w:rsid w:val="006F16D3"/>
    <w:rsid w:val="006F187B"/>
    <w:rsid w:val="006F18AA"/>
    <w:rsid w:val="006F1A27"/>
    <w:rsid w:val="006F1AD5"/>
    <w:rsid w:val="006F1BDF"/>
    <w:rsid w:val="006F1FCD"/>
    <w:rsid w:val="006F1FFC"/>
    <w:rsid w:val="006F2382"/>
    <w:rsid w:val="006F23BE"/>
    <w:rsid w:val="006F2480"/>
    <w:rsid w:val="006F2622"/>
    <w:rsid w:val="006F264E"/>
    <w:rsid w:val="006F26CD"/>
    <w:rsid w:val="006F26E1"/>
    <w:rsid w:val="006F2710"/>
    <w:rsid w:val="006F2A0D"/>
    <w:rsid w:val="006F2A68"/>
    <w:rsid w:val="006F2B42"/>
    <w:rsid w:val="006F2D46"/>
    <w:rsid w:val="006F2D67"/>
    <w:rsid w:val="006F2F75"/>
    <w:rsid w:val="006F32AF"/>
    <w:rsid w:val="006F32E2"/>
    <w:rsid w:val="006F33F3"/>
    <w:rsid w:val="006F3461"/>
    <w:rsid w:val="006F356D"/>
    <w:rsid w:val="006F383F"/>
    <w:rsid w:val="006F3C64"/>
    <w:rsid w:val="006F3F45"/>
    <w:rsid w:val="006F3F99"/>
    <w:rsid w:val="006F411C"/>
    <w:rsid w:val="006F4242"/>
    <w:rsid w:val="006F42F8"/>
    <w:rsid w:val="006F43A4"/>
    <w:rsid w:val="006F4798"/>
    <w:rsid w:val="006F483C"/>
    <w:rsid w:val="006F48DF"/>
    <w:rsid w:val="006F4D0B"/>
    <w:rsid w:val="006F4ED6"/>
    <w:rsid w:val="006F4F3C"/>
    <w:rsid w:val="006F4FD6"/>
    <w:rsid w:val="006F4FFF"/>
    <w:rsid w:val="006F5137"/>
    <w:rsid w:val="006F5311"/>
    <w:rsid w:val="006F53F4"/>
    <w:rsid w:val="006F571E"/>
    <w:rsid w:val="006F57A5"/>
    <w:rsid w:val="006F5921"/>
    <w:rsid w:val="006F5BA7"/>
    <w:rsid w:val="006F5BF7"/>
    <w:rsid w:val="006F5F5E"/>
    <w:rsid w:val="006F60D9"/>
    <w:rsid w:val="006F60F3"/>
    <w:rsid w:val="006F618C"/>
    <w:rsid w:val="006F61BA"/>
    <w:rsid w:val="006F63F6"/>
    <w:rsid w:val="006F6773"/>
    <w:rsid w:val="006F6802"/>
    <w:rsid w:val="006F6998"/>
    <w:rsid w:val="006F69DC"/>
    <w:rsid w:val="006F6B80"/>
    <w:rsid w:val="006F6CE1"/>
    <w:rsid w:val="006F6DD6"/>
    <w:rsid w:val="006F6F24"/>
    <w:rsid w:val="006F6F79"/>
    <w:rsid w:val="006F7064"/>
    <w:rsid w:val="006F7322"/>
    <w:rsid w:val="006F73B9"/>
    <w:rsid w:val="006F761C"/>
    <w:rsid w:val="006F7653"/>
    <w:rsid w:val="006F7694"/>
    <w:rsid w:val="006F76D9"/>
    <w:rsid w:val="006F77B2"/>
    <w:rsid w:val="006F7965"/>
    <w:rsid w:val="006F7AAD"/>
    <w:rsid w:val="006F7ACA"/>
    <w:rsid w:val="006F7B4F"/>
    <w:rsid w:val="006F7BED"/>
    <w:rsid w:val="006F7E8B"/>
    <w:rsid w:val="006F7F56"/>
    <w:rsid w:val="00700323"/>
    <w:rsid w:val="0070057E"/>
    <w:rsid w:val="007006C0"/>
    <w:rsid w:val="0070077C"/>
    <w:rsid w:val="0070093E"/>
    <w:rsid w:val="00700A2C"/>
    <w:rsid w:val="00700A3D"/>
    <w:rsid w:val="00700A82"/>
    <w:rsid w:val="00700DF5"/>
    <w:rsid w:val="00700E21"/>
    <w:rsid w:val="00701988"/>
    <w:rsid w:val="00701ACD"/>
    <w:rsid w:val="00701B0D"/>
    <w:rsid w:val="00701BE0"/>
    <w:rsid w:val="00701BFB"/>
    <w:rsid w:val="00701DA2"/>
    <w:rsid w:val="00701DB7"/>
    <w:rsid w:val="007021B1"/>
    <w:rsid w:val="007022BD"/>
    <w:rsid w:val="00702321"/>
    <w:rsid w:val="007024C5"/>
    <w:rsid w:val="007024CB"/>
    <w:rsid w:val="007025BF"/>
    <w:rsid w:val="007029C0"/>
    <w:rsid w:val="007029C1"/>
    <w:rsid w:val="00702AE5"/>
    <w:rsid w:val="00703112"/>
    <w:rsid w:val="00703117"/>
    <w:rsid w:val="00703296"/>
    <w:rsid w:val="007034CA"/>
    <w:rsid w:val="007034EB"/>
    <w:rsid w:val="007036D1"/>
    <w:rsid w:val="00703770"/>
    <w:rsid w:val="0070389B"/>
    <w:rsid w:val="00703C35"/>
    <w:rsid w:val="00703EBB"/>
    <w:rsid w:val="00704067"/>
    <w:rsid w:val="007042AA"/>
    <w:rsid w:val="0070435A"/>
    <w:rsid w:val="007043EF"/>
    <w:rsid w:val="00704450"/>
    <w:rsid w:val="007044EA"/>
    <w:rsid w:val="00704767"/>
    <w:rsid w:val="007048F4"/>
    <w:rsid w:val="00704A70"/>
    <w:rsid w:val="00704A85"/>
    <w:rsid w:val="00704BB2"/>
    <w:rsid w:val="00704EC1"/>
    <w:rsid w:val="00704FB9"/>
    <w:rsid w:val="00705060"/>
    <w:rsid w:val="00705293"/>
    <w:rsid w:val="007052C1"/>
    <w:rsid w:val="00705472"/>
    <w:rsid w:val="00705476"/>
    <w:rsid w:val="00705538"/>
    <w:rsid w:val="00705889"/>
    <w:rsid w:val="007058E7"/>
    <w:rsid w:val="007059A2"/>
    <w:rsid w:val="00705B30"/>
    <w:rsid w:val="00705B56"/>
    <w:rsid w:val="00705C52"/>
    <w:rsid w:val="00705C8C"/>
    <w:rsid w:val="00705CA6"/>
    <w:rsid w:val="00705E6B"/>
    <w:rsid w:val="00706297"/>
    <w:rsid w:val="0070637E"/>
    <w:rsid w:val="00706457"/>
    <w:rsid w:val="00706759"/>
    <w:rsid w:val="00706971"/>
    <w:rsid w:val="00706D0D"/>
    <w:rsid w:val="00706ED7"/>
    <w:rsid w:val="00706F14"/>
    <w:rsid w:val="007075BA"/>
    <w:rsid w:val="00707749"/>
    <w:rsid w:val="007078F4"/>
    <w:rsid w:val="00707910"/>
    <w:rsid w:val="00707BB4"/>
    <w:rsid w:val="00707C9D"/>
    <w:rsid w:val="00707F46"/>
    <w:rsid w:val="00710035"/>
    <w:rsid w:val="007101B9"/>
    <w:rsid w:val="0071028F"/>
    <w:rsid w:val="00710547"/>
    <w:rsid w:val="0071058C"/>
    <w:rsid w:val="00710668"/>
    <w:rsid w:val="00710776"/>
    <w:rsid w:val="00710827"/>
    <w:rsid w:val="0071083F"/>
    <w:rsid w:val="00710C31"/>
    <w:rsid w:val="00710CAE"/>
    <w:rsid w:val="00710DAB"/>
    <w:rsid w:val="00710DB3"/>
    <w:rsid w:val="00711302"/>
    <w:rsid w:val="00711801"/>
    <w:rsid w:val="00711A7D"/>
    <w:rsid w:val="00712401"/>
    <w:rsid w:val="00712572"/>
    <w:rsid w:val="007125F8"/>
    <w:rsid w:val="00712888"/>
    <w:rsid w:val="00712931"/>
    <w:rsid w:val="00712A17"/>
    <w:rsid w:val="00712C1E"/>
    <w:rsid w:val="00712DAC"/>
    <w:rsid w:val="00712DAE"/>
    <w:rsid w:val="00712E85"/>
    <w:rsid w:val="00712F78"/>
    <w:rsid w:val="0071302A"/>
    <w:rsid w:val="007133DF"/>
    <w:rsid w:val="00713710"/>
    <w:rsid w:val="00713A62"/>
    <w:rsid w:val="00713AD9"/>
    <w:rsid w:val="00713C10"/>
    <w:rsid w:val="00713D2D"/>
    <w:rsid w:val="00713F2A"/>
    <w:rsid w:val="00713F6A"/>
    <w:rsid w:val="00713FA1"/>
    <w:rsid w:val="007141B6"/>
    <w:rsid w:val="007144BD"/>
    <w:rsid w:val="0071479F"/>
    <w:rsid w:val="007148F8"/>
    <w:rsid w:val="00714AF0"/>
    <w:rsid w:val="00714BB5"/>
    <w:rsid w:val="00714BBA"/>
    <w:rsid w:val="00714C59"/>
    <w:rsid w:val="00714DF0"/>
    <w:rsid w:val="00714EA9"/>
    <w:rsid w:val="00714F88"/>
    <w:rsid w:val="00714FE1"/>
    <w:rsid w:val="00715119"/>
    <w:rsid w:val="007151FE"/>
    <w:rsid w:val="007152CE"/>
    <w:rsid w:val="00715455"/>
    <w:rsid w:val="007154EE"/>
    <w:rsid w:val="00715581"/>
    <w:rsid w:val="007156E7"/>
    <w:rsid w:val="007158ED"/>
    <w:rsid w:val="007159D3"/>
    <w:rsid w:val="00715AB6"/>
    <w:rsid w:val="00715BBB"/>
    <w:rsid w:val="00715C10"/>
    <w:rsid w:val="00715C1E"/>
    <w:rsid w:val="00715C65"/>
    <w:rsid w:val="00715E68"/>
    <w:rsid w:val="00715EFB"/>
    <w:rsid w:val="00715F11"/>
    <w:rsid w:val="00716038"/>
    <w:rsid w:val="0071615D"/>
    <w:rsid w:val="00716287"/>
    <w:rsid w:val="007162EA"/>
    <w:rsid w:val="00716412"/>
    <w:rsid w:val="007166FD"/>
    <w:rsid w:val="00716760"/>
    <w:rsid w:val="007167FB"/>
    <w:rsid w:val="007168EC"/>
    <w:rsid w:val="00716905"/>
    <w:rsid w:val="00716A05"/>
    <w:rsid w:val="00716A24"/>
    <w:rsid w:val="00716A7B"/>
    <w:rsid w:val="00716B1C"/>
    <w:rsid w:val="00716C49"/>
    <w:rsid w:val="00716E16"/>
    <w:rsid w:val="007170A0"/>
    <w:rsid w:val="0071719B"/>
    <w:rsid w:val="007175A5"/>
    <w:rsid w:val="00717746"/>
    <w:rsid w:val="007179A8"/>
    <w:rsid w:val="00717B66"/>
    <w:rsid w:val="00717CF7"/>
    <w:rsid w:val="00717D4A"/>
    <w:rsid w:val="00717F07"/>
    <w:rsid w:val="00717F8C"/>
    <w:rsid w:val="00720023"/>
    <w:rsid w:val="0072036A"/>
    <w:rsid w:val="007203AA"/>
    <w:rsid w:val="0072049F"/>
    <w:rsid w:val="00720618"/>
    <w:rsid w:val="00720761"/>
    <w:rsid w:val="00720988"/>
    <w:rsid w:val="00720B51"/>
    <w:rsid w:val="00720BC2"/>
    <w:rsid w:val="00720D64"/>
    <w:rsid w:val="00720DF6"/>
    <w:rsid w:val="00720FB6"/>
    <w:rsid w:val="00721158"/>
    <w:rsid w:val="007211FE"/>
    <w:rsid w:val="00721269"/>
    <w:rsid w:val="00721284"/>
    <w:rsid w:val="007212A5"/>
    <w:rsid w:val="007217B0"/>
    <w:rsid w:val="007217D9"/>
    <w:rsid w:val="0072185A"/>
    <w:rsid w:val="0072198B"/>
    <w:rsid w:val="00721A07"/>
    <w:rsid w:val="007223C3"/>
    <w:rsid w:val="00722694"/>
    <w:rsid w:val="00722740"/>
    <w:rsid w:val="007228AA"/>
    <w:rsid w:val="007228F6"/>
    <w:rsid w:val="0072294B"/>
    <w:rsid w:val="00722D40"/>
    <w:rsid w:val="00722DAE"/>
    <w:rsid w:val="007232C2"/>
    <w:rsid w:val="00723489"/>
    <w:rsid w:val="007234FF"/>
    <w:rsid w:val="00723734"/>
    <w:rsid w:val="00723849"/>
    <w:rsid w:val="007238AF"/>
    <w:rsid w:val="00723951"/>
    <w:rsid w:val="00723B72"/>
    <w:rsid w:val="00723BD6"/>
    <w:rsid w:val="00723C00"/>
    <w:rsid w:val="00723C11"/>
    <w:rsid w:val="00723D73"/>
    <w:rsid w:val="00723F1C"/>
    <w:rsid w:val="00723F2C"/>
    <w:rsid w:val="00723F63"/>
    <w:rsid w:val="007240CE"/>
    <w:rsid w:val="007241F0"/>
    <w:rsid w:val="00724284"/>
    <w:rsid w:val="00724293"/>
    <w:rsid w:val="00724297"/>
    <w:rsid w:val="007243C1"/>
    <w:rsid w:val="007243F0"/>
    <w:rsid w:val="007243F4"/>
    <w:rsid w:val="00724605"/>
    <w:rsid w:val="00724A26"/>
    <w:rsid w:val="00724B78"/>
    <w:rsid w:val="00724B7D"/>
    <w:rsid w:val="00724E67"/>
    <w:rsid w:val="00724E7D"/>
    <w:rsid w:val="00724FE3"/>
    <w:rsid w:val="00725007"/>
    <w:rsid w:val="00725340"/>
    <w:rsid w:val="00725432"/>
    <w:rsid w:val="007254D4"/>
    <w:rsid w:val="007254DF"/>
    <w:rsid w:val="00725616"/>
    <w:rsid w:val="00725676"/>
    <w:rsid w:val="0072596B"/>
    <w:rsid w:val="00725BC0"/>
    <w:rsid w:val="00725C3D"/>
    <w:rsid w:val="00725DAC"/>
    <w:rsid w:val="00725FEB"/>
    <w:rsid w:val="00726037"/>
    <w:rsid w:val="007264A0"/>
    <w:rsid w:val="007265AA"/>
    <w:rsid w:val="00726631"/>
    <w:rsid w:val="007268E4"/>
    <w:rsid w:val="007269CE"/>
    <w:rsid w:val="00726CAC"/>
    <w:rsid w:val="00726DC9"/>
    <w:rsid w:val="00727327"/>
    <w:rsid w:val="00727429"/>
    <w:rsid w:val="0072745C"/>
    <w:rsid w:val="0072792E"/>
    <w:rsid w:val="00727BBB"/>
    <w:rsid w:val="00727E77"/>
    <w:rsid w:val="00727EA3"/>
    <w:rsid w:val="00730013"/>
    <w:rsid w:val="00730425"/>
    <w:rsid w:val="00730607"/>
    <w:rsid w:val="00730647"/>
    <w:rsid w:val="00730669"/>
    <w:rsid w:val="00730680"/>
    <w:rsid w:val="007307B6"/>
    <w:rsid w:val="00730BA8"/>
    <w:rsid w:val="00730DC1"/>
    <w:rsid w:val="00731135"/>
    <w:rsid w:val="007311A8"/>
    <w:rsid w:val="007311D4"/>
    <w:rsid w:val="00731254"/>
    <w:rsid w:val="0073125A"/>
    <w:rsid w:val="007312A9"/>
    <w:rsid w:val="007315BE"/>
    <w:rsid w:val="007316F4"/>
    <w:rsid w:val="0073183F"/>
    <w:rsid w:val="00731882"/>
    <w:rsid w:val="00731B9C"/>
    <w:rsid w:val="00731D94"/>
    <w:rsid w:val="00731EAE"/>
    <w:rsid w:val="00731F04"/>
    <w:rsid w:val="00731F4B"/>
    <w:rsid w:val="007320B8"/>
    <w:rsid w:val="00732363"/>
    <w:rsid w:val="00732539"/>
    <w:rsid w:val="00732574"/>
    <w:rsid w:val="007326B7"/>
    <w:rsid w:val="00732717"/>
    <w:rsid w:val="00732738"/>
    <w:rsid w:val="00732E59"/>
    <w:rsid w:val="00733273"/>
    <w:rsid w:val="007332DF"/>
    <w:rsid w:val="00733392"/>
    <w:rsid w:val="0073376C"/>
    <w:rsid w:val="0073382E"/>
    <w:rsid w:val="00733898"/>
    <w:rsid w:val="00733BBA"/>
    <w:rsid w:val="007340A2"/>
    <w:rsid w:val="00734156"/>
    <w:rsid w:val="007343D5"/>
    <w:rsid w:val="00734715"/>
    <w:rsid w:val="0073486A"/>
    <w:rsid w:val="007348B2"/>
    <w:rsid w:val="0073490C"/>
    <w:rsid w:val="00734939"/>
    <w:rsid w:val="007349FD"/>
    <w:rsid w:val="00734B0E"/>
    <w:rsid w:val="00734EA3"/>
    <w:rsid w:val="00734F36"/>
    <w:rsid w:val="0073524F"/>
    <w:rsid w:val="007353A7"/>
    <w:rsid w:val="00735426"/>
    <w:rsid w:val="00735791"/>
    <w:rsid w:val="007357F0"/>
    <w:rsid w:val="007359C8"/>
    <w:rsid w:val="00735C0D"/>
    <w:rsid w:val="00735D33"/>
    <w:rsid w:val="00735D95"/>
    <w:rsid w:val="00735E32"/>
    <w:rsid w:val="00735F0B"/>
    <w:rsid w:val="00735F50"/>
    <w:rsid w:val="007361AC"/>
    <w:rsid w:val="00736295"/>
    <w:rsid w:val="007362F0"/>
    <w:rsid w:val="00736307"/>
    <w:rsid w:val="007365EA"/>
    <w:rsid w:val="00736665"/>
    <w:rsid w:val="00736671"/>
    <w:rsid w:val="007366CE"/>
    <w:rsid w:val="00736745"/>
    <w:rsid w:val="0073688D"/>
    <w:rsid w:val="0073690E"/>
    <w:rsid w:val="00736966"/>
    <w:rsid w:val="00736C12"/>
    <w:rsid w:val="00736D8E"/>
    <w:rsid w:val="00736E8E"/>
    <w:rsid w:val="00737138"/>
    <w:rsid w:val="007371E4"/>
    <w:rsid w:val="0073723F"/>
    <w:rsid w:val="007372AB"/>
    <w:rsid w:val="0073738B"/>
    <w:rsid w:val="00737726"/>
    <w:rsid w:val="00737938"/>
    <w:rsid w:val="0073799C"/>
    <w:rsid w:val="00737B26"/>
    <w:rsid w:val="00737CC9"/>
    <w:rsid w:val="00737EEC"/>
    <w:rsid w:val="00740378"/>
    <w:rsid w:val="00740447"/>
    <w:rsid w:val="007408C5"/>
    <w:rsid w:val="00740C39"/>
    <w:rsid w:val="00740D83"/>
    <w:rsid w:val="007410E0"/>
    <w:rsid w:val="00741160"/>
    <w:rsid w:val="007415B5"/>
    <w:rsid w:val="00741601"/>
    <w:rsid w:val="007416EC"/>
    <w:rsid w:val="00741806"/>
    <w:rsid w:val="0074188D"/>
    <w:rsid w:val="00741B1B"/>
    <w:rsid w:val="00741E45"/>
    <w:rsid w:val="00741EF7"/>
    <w:rsid w:val="00741FDB"/>
    <w:rsid w:val="00742015"/>
    <w:rsid w:val="0074209E"/>
    <w:rsid w:val="007421A3"/>
    <w:rsid w:val="00742325"/>
    <w:rsid w:val="007423D9"/>
    <w:rsid w:val="007424DD"/>
    <w:rsid w:val="007428B7"/>
    <w:rsid w:val="00742ABA"/>
    <w:rsid w:val="00742CE5"/>
    <w:rsid w:val="00742D7D"/>
    <w:rsid w:val="00742E29"/>
    <w:rsid w:val="00742F33"/>
    <w:rsid w:val="00742F73"/>
    <w:rsid w:val="00743308"/>
    <w:rsid w:val="007438B9"/>
    <w:rsid w:val="00743B7C"/>
    <w:rsid w:val="00743BBE"/>
    <w:rsid w:val="00743D3E"/>
    <w:rsid w:val="00743E08"/>
    <w:rsid w:val="00744087"/>
    <w:rsid w:val="007443AA"/>
    <w:rsid w:val="00744515"/>
    <w:rsid w:val="007446EE"/>
    <w:rsid w:val="0074479A"/>
    <w:rsid w:val="00744959"/>
    <w:rsid w:val="00744A7A"/>
    <w:rsid w:val="00744CDB"/>
    <w:rsid w:val="00744CEF"/>
    <w:rsid w:val="00744FC0"/>
    <w:rsid w:val="00745158"/>
    <w:rsid w:val="00745332"/>
    <w:rsid w:val="00745425"/>
    <w:rsid w:val="00745677"/>
    <w:rsid w:val="007456DE"/>
    <w:rsid w:val="00745937"/>
    <w:rsid w:val="00745BC3"/>
    <w:rsid w:val="00745CE2"/>
    <w:rsid w:val="0074612E"/>
    <w:rsid w:val="00746155"/>
    <w:rsid w:val="0074686B"/>
    <w:rsid w:val="00746908"/>
    <w:rsid w:val="0074694B"/>
    <w:rsid w:val="007469C8"/>
    <w:rsid w:val="00746AD8"/>
    <w:rsid w:val="00746BEF"/>
    <w:rsid w:val="00746F30"/>
    <w:rsid w:val="00746F5D"/>
    <w:rsid w:val="007471D0"/>
    <w:rsid w:val="00747259"/>
    <w:rsid w:val="00747382"/>
    <w:rsid w:val="0074748C"/>
    <w:rsid w:val="007475FC"/>
    <w:rsid w:val="0074768F"/>
    <w:rsid w:val="0074771C"/>
    <w:rsid w:val="00747861"/>
    <w:rsid w:val="007478BF"/>
    <w:rsid w:val="00747922"/>
    <w:rsid w:val="00747A35"/>
    <w:rsid w:val="00747DA2"/>
    <w:rsid w:val="00747E1C"/>
    <w:rsid w:val="00747E59"/>
    <w:rsid w:val="00747E5E"/>
    <w:rsid w:val="00750329"/>
    <w:rsid w:val="00750336"/>
    <w:rsid w:val="007504E1"/>
    <w:rsid w:val="0075079F"/>
    <w:rsid w:val="007508A4"/>
    <w:rsid w:val="00750952"/>
    <w:rsid w:val="00750A95"/>
    <w:rsid w:val="00750B98"/>
    <w:rsid w:val="00750C94"/>
    <w:rsid w:val="00750E43"/>
    <w:rsid w:val="00751258"/>
    <w:rsid w:val="00751346"/>
    <w:rsid w:val="00751422"/>
    <w:rsid w:val="007516EE"/>
    <w:rsid w:val="00751778"/>
    <w:rsid w:val="00751B29"/>
    <w:rsid w:val="00751B42"/>
    <w:rsid w:val="00751BC6"/>
    <w:rsid w:val="00751D30"/>
    <w:rsid w:val="00751D8D"/>
    <w:rsid w:val="00751F5B"/>
    <w:rsid w:val="00751F77"/>
    <w:rsid w:val="0075215F"/>
    <w:rsid w:val="0075222B"/>
    <w:rsid w:val="0075231A"/>
    <w:rsid w:val="00752327"/>
    <w:rsid w:val="0075236E"/>
    <w:rsid w:val="00752570"/>
    <w:rsid w:val="00752813"/>
    <w:rsid w:val="00752EBE"/>
    <w:rsid w:val="00752F2D"/>
    <w:rsid w:val="0075361E"/>
    <w:rsid w:val="00753649"/>
    <w:rsid w:val="007537E5"/>
    <w:rsid w:val="007538B7"/>
    <w:rsid w:val="007538CC"/>
    <w:rsid w:val="00753A2F"/>
    <w:rsid w:val="00753B3A"/>
    <w:rsid w:val="00753BC1"/>
    <w:rsid w:val="00753CFA"/>
    <w:rsid w:val="00753DA7"/>
    <w:rsid w:val="007540CD"/>
    <w:rsid w:val="0075425A"/>
    <w:rsid w:val="007542C4"/>
    <w:rsid w:val="007543AA"/>
    <w:rsid w:val="0075449B"/>
    <w:rsid w:val="00754901"/>
    <w:rsid w:val="00754933"/>
    <w:rsid w:val="007549C9"/>
    <w:rsid w:val="007549F7"/>
    <w:rsid w:val="007549F9"/>
    <w:rsid w:val="00754DA5"/>
    <w:rsid w:val="00754F91"/>
    <w:rsid w:val="00755123"/>
    <w:rsid w:val="00755467"/>
    <w:rsid w:val="007555F0"/>
    <w:rsid w:val="0075562C"/>
    <w:rsid w:val="00755CEB"/>
    <w:rsid w:val="007561C7"/>
    <w:rsid w:val="00756210"/>
    <w:rsid w:val="007562A1"/>
    <w:rsid w:val="00756719"/>
    <w:rsid w:val="0075671F"/>
    <w:rsid w:val="007567BB"/>
    <w:rsid w:val="0075693A"/>
    <w:rsid w:val="00756BEB"/>
    <w:rsid w:val="00756C5E"/>
    <w:rsid w:val="00756E4D"/>
    <w:rsid w:val="00756E66"/>
    <w:rsid w:val="00757004"/>
    <w:rsid w:val="00757142"/>
    <w:rsid w:val="00757215"/>
    <w:rsid w:val="007572D8"/>
    <w:rsid w:val="00757373"/>
    <w:rsid w:val="00757635"/>
    <w:rsid w:val="00757922"/>
    <w:rsid w:val="0075796D"/>
    <w:rsid w:val="00757A85"/>
    <w:rsid w:val="00757CDF"/>
    <w:rsid w:val="00760151"/>
    <w:rsid w:val="00760311"/>
    <w:rsid w:val="0076040A"/>
    <w:rsid w:val="007604F8"/>
    <w:rsid w:val="00760636"/>
    <w:rsid w:val="007607AD"/>
    <w:rsid w:val="007608EF"/>
    <w:rsid w:val="007609D4"/>
    <w:rsid w:val="007609DC"/>
    <w:rsid w:val="00760B92"/>
    <w:rsid w:val="00760C20"/>
    <w:rsid w:val="00760C4C"/>
    <w:rsid w:val="00760C8A"/>
    <w:rsid w:val="00760CA8"/>
    <w:rsid w:val="00760D4A"/>
    <w:rsid w:val="00761058"/>
    <w:rsid w:val="0076137D"/>
    <w:rsid w:val="007614C5"/>
    <w:rsid w:val="007619F6"/>
    <w:rsid w:val="00761D62"/>
    <w:rsid w:val="00761E80"/>
    <w:rsid w:val="00761FAD"/>
    <w:rsid w:val="0076213F"/>
    <w:rsid w:val="0076222F"/>
    <w:rsid w:val="007624FD"/>
    <w:rsid w:val="0076268E"/>
    <w:rsid w:val="007626EB"/>
    <w:rsid w:val="00762735"/>
    <w:rsid w:val="00762CFF"/>
    <w:rsid w:val="00762F5D"/>
    <w:rsid w:val="007634CF"/>
    <w:rsid w:val="0076351B"/>
    <w:rsid w:val="00763563"/>
    <w:rsid w:val="0076358C"/>
    <w:rsid w:val="00763637"/>
    <w:rsid w:val="00763698"/>
    <w:rsid w:val="00763A1E"/>
    <w:rsid w:val="00763AF8"/>
    <w:rsid w:val="00763BD5"/>
    <w:rsid w:val="00763C98"/>
    <w:rsid w:val="00763E73"/>
    <w:rsid w:val="007641FC"/>
    <w:rsid w:val="00764214"/>
    <w:rsid w:val="00764369"/>
    <w:rsid w:val="007644A5"/>
    <w:rsid w:val="00764709"/>
    <w:rsid w:val="00765246"/>
    <w:rsid w:val="0076530E"/>
    <w:rsid w:val="007654A9"/>
    <w:rsid w:val="00765572"/>
    <w:rsid w:val="0076578C"/>
    <w:rsid w:val="007659EA"/>
    <w:rsid w:val="00765A03"/>
    <w:rsid w:val="00765D58"/>
    <w:rsid w:val="00765D84"/>
    <w:rsid w:val="00765E15"/>
    <w:rsid w:val="00765F43"/>
    <w:rsid w:val="00766181"/>
    <w:rsid w:val="00766241"/>
    <w:rsid w:val="0076645E"/>
    <w:rsid w:val="007664ED"/>
    <w:rsid w:val="00766A12"/>
    <w:rsid w:val="00766C5A"/>
    <w:rsid w:val="00766D6C"/>
    <w:rsid w:val="00766E00"/>
    <w:rsid w:val="00766F69"/>
    <w:rsid w:val="00767039"/>
    <w:rsid w:val="007672B4"/>
    <w:rsid w:val="00767411"/>
    <w:rsid w:val="007675D5"/>
    <w:rsid w:val="007675F7"/>
    <w:rsid w:val="00767616"/>
    <w:rsid w:val="00767767"/>
    <w:rsid w:val="00767927"/>
    <w:rsid w:val="007679B1"/>
    <w:rsid w:val="007679DA"/>
    <w:rsid w:val="00767A72"/>
    <w:rsid w:val="00767C7A"/>
    <w:rsid w:val="007700FE"/>
    <w:rsid w:val="0077026B"/>
    <w:rsid w:val="007705A8"/>
    <w:rsid w:val="007705D8"/>
    <w:rsid w:val="00770685"/>
    <w:rsid w:val="0077079A"/>
    <w:rsid w:val="007708C9"/>
    <w:rsid w:val="00770CA3"/>
    <w:rsid w:val="00770D06"/>
    <w:rsid w:val="00770D13"/>
    <w:rsid w:val="00771025"/>
    <w:rsid w:val="0077127E"/>
    <w:rsid w:val="00771303"/>
    <w:rsid w:val="00771336"/>
    <w:rsid w:val="00771562"/>
    <w:rsid w:val="007715F5"/>
    <w:rsid w:val="007716CC"/>
    <w:rsid w:val="00771BEA"/>
    <w:rsid w:val="00771C85"/>
    <w:rsid w:val="00771DCE"/>
    <w:rsid w:val="00771E0A"/>
    <w:rsid w:val="00772009"/>
    <w:rsid w:val="007723F3"/>
    <w:rsid w:val="007724F3"/>
    <w:rsid w:val="0077253D"/>
    <w:rsid w:val="007725A2"/>
    <w:rsid w:val="007727AB"/>
    <w:rsid w:val="00772923"/>
    <w:rsid w:val="007729B3"/>
    <w:rsid w:val="00772B31"/>
    <w:rsid w:val="00772CE8"/>
    <w:rsid w:val="00772D47"/>
    <w:rsid w:val="00772E5B"/>
    <w:rsid w:val="00772F72"/>
    <w:rsid w:val="0077312F"/>
    <w:rsid w:val="007733D3"/>
    <w:rsid w:val="007735B5"/>
    <w:rsid w:val="00773A10"/>
    <w:rsid w:val="00773A53"/>
    <w:rsid w:val="00773BC0"/>
    <w:rsid w:val="00773C74"/>
    <w:rsid w:val="00773C99"/>
    <w:rsid w:val="0077402A"/>
    <w:rsid w:val="007741AE"/>
    <w:rsid w:val="00774322"/>
    <w:rsid w:val="00774327"/>
    <w:rsid w:val="007743EB"/>
    <w:rsid w:val="007744FA"/>
    <w:rsid w:val="0077479D"/>
    <w:rsid w:val="00774906"/>
    <w:rsid w:val="00774C68"/>
    <w:rsid w:val="00775044"/>
    <w:rsid w:val="00775149"/>
    <w:rsid w:val="00775226"/>
    <w:rsid w:val="0077528C"/>
    <w:rsid w:val="007752C5"/>
    <w:rsid w:val="007752CD"/>
    <w:rsid w:val="00775651"/>
    <w:rsid w:val="0077576B"/>
    <w:rsid w:val="00775AAD"/>
    <w:rsid w:val="00775D7A"/>
    <w:rsid w:val="00775E33"/>
    <w:rsid w:val="00775F74"/>
    <w:rsid w:val="00776063"/>
    <w:rsid w:val="007762F3"/>
    <w:rsid w:val="00776376"/>
    <w:rsid w:val="007764B6"/>
    <w:rsid w:val="00776600"/>
    <w:rsid w:val="00776670"/>
    <w:rsid w:val="007767AC"/>
    <w:rsid w:val="0077694F"/>
    <w:rsid w:val="00776A2B"/>
    <w:rsid w:val="00776A70"/>
    <w:rsid w:val="00776A9A"/>
    <w:rsid w:val="00776B9E"/>
    <w:rsid w:val="00776BFC"/>
    <w:rsid w:val="00776D5F"/>
    <w:rsid w:val="00777196"/>
    <w:rsid w:val="007771F1"/>
    <w:rsid w:val="0077733E"/>
    <w:rsid w:val="00777436"/>
    <w:rsid w:val="007775CF"/>
    <w:rsid w:val="00777A1C"/>
    <w:rsid w:val="00777CC1"/>
    <w:rsid w:val="00777DCE"/>
    <w:rsid w:val="00777DE9"/>
    <w:rsid w:val="0078001F"/>
    <w:rsid w:val="007800E8"/>
    <w:rsid w:val="0078014E"/>
    <w:rsid w:val="0078028C"/>
    <w:rsid w:val="00780366"/>
    <w:rsid w:val="007803FA"/>
    <w:rsid w:val="007806A2"/>
    <w:rsid w:val="00780B1A"/>
    <w:rsid w:val="00780E00"/>
    <w:rsid w:val="00780FDE"/>
    <w:rsid w:val="0078134C"/>
    <w:rsid w:val="0078139C"/>
    <w:rsid w:val="007814B2"/>
    <w:rsid w:val="0078156C"/>
    <w:rsid w:val="00781881"/>
    <w:rsid w:val="0078196B"/>
    <w:rsid w:val="00781D85"/>
    <w:rsid w:val="00781D9D"/>
    <w:rsid w:val="00781DD2"/>
    <w:rsid w:val="00781EAB"/>
    <w:rsid w:val="00782051"/>
    <w:rsid w:val="007820B5"/>
    <w:rsid w:val="00782179"/>
    <w:rsid w:val="00782224"/>
    <w:rsid w:val="007822D7"/>
    <w:rsid w:val="007823E3"/>
    <w:rsid w:val="00782704"/>
    <w:rsid w:val="0078289A"/>
    <w:rsid w:val="00782C3E"/>
    <w:rsid w:val="00782D03"/>
    <w:rsid w:val="00782FCC"/>
    <w:rsid w:val="007831D1"/>
    <w:rsid w:val="0078325A"/>
    <w:rsid w:val="007837C0"/>
    <w:rsid w:val="00783E28"/>
    <w:rsid w:val="00783EA0"/>
    <w:rsid w:val="0078418D"/>
    <w:rsid w:val="0078429D"/>
    <w:rsid w:val="00784A23"/>
    <w:rsid w:val="00784A8A"/>
    <w:rsid w:val="00784B89"/>
    <w:rsid w:val="00784CA0"/>
    <w:rsid w:val="00784D84"/>
    <w:rsid w:val="00785085"/>
    <w:rsid w:val="00785122"/>
    <w:rsid w:val="007852A0"/>
    <w:rsid w:val="0078570F"/>
    <w:rsid w:val="00785B27"/>
    <w:rsid w:val="00785CA9"/>
    <w:rsid w:val="00785CD4"/>
    <w:rsid w:val="00785DAF"/>
    <w:rsid w:val="00785E88"/>
    <w:rsid w:val="00785EA6"/>
    <w:rsid w:val="0078605D"/>
    <w:rsid w:val="0078620C"/>
    <w:rsid w:val="007862BE"/>
    <w:rsid w:val="007863F9"/>
    <w:rsid w:val="0078643E"/>
    <w:rsid w:val="00786531"/>
    <w:rsid w:val="00786793"/>
    <w:rsid w:val="00786B16"/>
    <w:rsid w:val="0078701B"/>
    <w:rsid w:val="00787120"/>
    <w:rsid w:val="00787185"/>
    <w:rsid w:val="00787609"/>
    <w:rsid w:val="00787706"/>
    <w:rsid w:val="007877CB"/>
    <w:rsid w:val="00787C6F"/>
    <w:rsid w:val="00787C76"/>
    <w:rsid w:val="00790072"/>
    <w:rsid w:val="00790161"/>
    <w:rsid w:val="007901BE"/>
    <w:rsid w:val="00790493"/>
    <w:rsid w:val="00790B2B"/>
    <w:rsid w:val="00790C35"/>
    <w:rsid w:val="00790D4E"/>
    <w:rsid w:val="00790E17"/>
    <w:rsid w:val="00790EEE"/>
    <w:rsid w:val="00791030"/>
    <w:rsid w:val="0079106B"/>
    <w:rsid w:val="007913DE"/>
    <w:rsid w:val="0079143F"/>
    <w:rsid w:val="0079154D"/>
    <w:rsid w:val="007915BC"/>
    <w:rsid w:val="00791A11"/>
    <w:rsid w:val="00791C88"/>
    <w:rsid w:val="00791CC6"/>
    <w:rsid w:val="00791EC4"/>
    <w:rsid w:val="0079220F"/>
    <w:rsid w:val="007922CE"/>
    <w:rsid w:val="007922E6"/>
    <w:rsid w:val="0079251A"/>
    <w:rsid w:val="00792562"/>
    <w:rsid w:val="00792764"/>
    <w:rsid w:val="007928DD"/>
    <w:rsid w:val="00792918"/>
    <w:rsid w:val="00792990"/>
    <w:rsid w:val="00792D3A"/>
    <w:rsid w:val="00792E34"/>
    <w:rsid w:val="00792F62"/>
    <w:rsid w:val="00792FF7"/>
    <w:rsid w:val="00793218"/>
    <w:rsid w:val="007932A8"/>
    <w:rsid w:val="007932BA"/>
    <w:rsid w:val="007934A3"/>
    <w:rsid w:val="0079356D"/>
    <w:rsid w:val="0079379B"/>
    <w:rsid w:val="0079379F"/>
    <w:rsid w:val="0079399A"/>
    <w:rsid w:val="00793A3D"/>
    <w:rsid w:val="00793BD3"/>
    <w:rsid w:val="00793C39"/>
    <w:rsid w:val="00793F10"/>
    <w:rsid w:val="00793F2E"/>
    <w:rsid w:val="0079417D"/>
    <w:rsid w:val="00794184"/>
    <w:rsid w:val="0079418F"/>
    <w:rsid w:val="0079420B"/>
    <w:rsid w:val="007942DE"/>
    <w:rsid w:val="00794352"/>
    <w:rsid w:val="00794393"/>
    <w:rsid w:val="00794470"/>
    <w:rsid w:val="0079450C"/>
    <w:rsid w:val="00794820"/>
    <w:rsid w:val="00794A02"/>
    <w:rsid w:val="00794A83"/>
    <w:rsid w:val="00794CD0"/>
    <w:rsid w:val="00794EBA"/>
    <w:rsid w:val="00794EC1"/>
    <w:rsid w:val="00795252"/>
    <w:rsid w:val="00795457"/>
    <w:rsid w:val="00795536"/>
    <w:rsid w:val="007955FB"/>
    <w:rsid w:val="0079570B"/>
    <w:rsid w:val="00795881"/>
    <w:rsid w:val="00795C5C"/>
    <w:rsid w:val="00795CE7"/>
    <w:rsid w:val="00795D01"/>
    <w:rsid w:val="00795F0B"/>
    <w:rsid w:val="0079605A"/>
    <w:rsid w:val="00796118"/>
    <w:rsid w:val="00796259"/>
    <w:rsid w:val="007963CB"/>
    <w:rsid w:val="0079650C"/>
    <w:rsid w:val="00796572"/>
    <w:rsid w:val="007967AE"/>
    <w:rsid w:val="007967E2"/>
    <w:rsid w:val="00796912"/>
    <w:rsid w:val="00796A17"/>
    <w:rsid w:val="00796B86"/>
    <w:rsid w:val="00796C05"/>
    <w:rsid w:val="00796C2A"/>
    <w:rsid w:val="00796C51"/>
    <w:rsid w:val="00796C58"/>
    <w:rsid w:val="00796DA4"/>
    <w:rsid w:val="00796DBD"/>
    <w:rsid w:val="00796DCB"/>
    <w:rsid w:val="00797002"/>
    <w:rsid w:val="0079744E"/>
    <w:rsid w:val="0079747D"/>
    <w:rsid w:val="0079753F"/>
    <w:rsid w:val="0079787C"/>
    <w:rsid w:val="00797915"/>
    <w:rsid w:val="00797A37"/>
    <w:rsid w:val="00797B67"/>
    <w:rsid w:val="00797C1E"/>
    <w:rsid w:val="00797D22"/>
    <w:rsid w:val="00797D8D"/>
    <w:rsid w:val="00797F4E"/>
    <w:rsid w:val="00797FFC"/>
    <w:rsid w:val="007A0005"/>
    <w:rsid w:val="007A010A"/>
    <w:rsid w:val="007A0130"/>
    <w:rsid w:val="007A034D"/>
    <w:rsid w:val="007A043D"/>
    <w:rsid w:val="007A0489"/>
    <w:rsid w:val="007A05B9"/>
    <w:rsid w:val="007A07CB"/>
    <w:rsid w:val="007A08A9"/>
    <w:rsid w:val="007A0A49"/>
    <w:rsid w:val="007A0A54"/>
    <w:rsid w:val="007A0B68"/>
    <w:rsid w:val="007A0C29"/>
    <w:rsid w:val="007A1581"/>
    <w:rsid w:val="007A1630"/>
    <w:rsid w:val="007A18C5"/>
    <w:rsid w:val="007A1963"/>
    <w:rsid w:val="007A1AAC"/>
    <w:rsid w:val="007A1C96"/>
    <w:rsid w:val="007A1C9C"/>
    <w:rsid w:val="007A206E"/>
    <w:rsid w:val="007A223F"/>
    <w:rsid w:val="007A28D7"/>
    <w:rsid w:val="007A2996"/>
    <w:rsid w:val="007A2A5A"/>
    <w:rsid w:val="007A2AA2"/>
    <w:rsid w:val="007A2BEB"/>
    <w:rsid w:val="007A2D30"/>
    <w:rsid w:val="007A2DD5"/>
    <w:rsid w:val="007A3034"/>
    <w:rsid w:val="007A33FF"/>
    <w:rsid w:val="007A3814"/>
    <w:rsid w:val="007A3892"/>
    <w:rsid w:val="007A3A26"/>
    <w:rsid w:val="007A3ABB"/>
    <w:rsid w:val="007A3B7D"/>
    <w:rsid w:val="007A3CAB"/>
    <w:rsid w:val="007A3E19"/>
    <w:rsid w:val="007A3E8D"/>
    <w:rsid w:val="007A3F87"/>
    <w:rsid w:val="007A3FD8"/>
    <w:rsid w:val="007A40AB"/>
    <w:rsid w:val="007A4295"/>
    <w:rsid w:val="007A4311"/>
    <w:rsid w:val="007A47BB"/>
    <w:rsid w:val="007A48C5"/>
    <w:rsid w:val="007A4938"/>
    <w:rsid w:val="007A4C07"/>
    <w:rsid w:val="007A4D7E"/>
    <w:rsid w:val="007A4DDD"/>
    <w:rsid w:val="007A4E6C"/>
    <w:rsid w:val="007A4E7A"/>
    <w:rsid w:val="007A5224"/>
    <w:rsid w:val="007A53B9"/>
    <w:rsid w:val="007A53E3"/>
    <w:rsid w:val="007A5439"/>
    <w:rsid w:val="007A55C2"/>
    <w:rsid w:val="007A5633"/>
    <w:rsid w:val="007A567A"/>
    <w:rsid w:val="007A569F"/>
    <w:rsid w:val="007A56E8"/>
    <w:rsid w:val="007A5B5E"/>
    <w:rsid w:val="007A5B82"/>
    <w:rsid w:val="007A5F30"/>
    <w:rsid w:val="007A5FAF"/>
    <w:rsid w:val="007A607F"/>
    <w:rsid w:val="007A613A"/>
    <w:rsid w:val="007A615A"/>
    <w:rsid w:val="007A64F5"/>
    <w:rsid w:val="007A65E4"/>
    <w:rsid w:val="007A67B5"/>
    <w:rsid w:val="007A680A"/>
    <w:rsid w:val="007A6A6A"/>
    <w:rsid w:val="007A6AF7"/>
    <w:rsid w:val="007A75DE"/>
    <w:rsid w:val="007A77B1"/>
    <w:rsid w:val="007A79B1"/>
    <w:rsid w:val="007A79D8"/>
    <w:rsid w:val="007A7A45"/>
    <w:rsid w:val="007A7BE6"/>
    <w:rsid w:val="007A7CD9"/>
    <w:rsid w:val="007A7E04"/>
    <w:rsid w:val="007A7E33"/>
    <w:rsid w:val="007A7FF5"/>
    <w:rsid w:val="007B00EF"/>
    <w:rsid w:val="007B0139"/>
    <w:rsid w:val="007B01DD"/>
    <w:rsid w:val="007B0601"/>
    <w:rsid w:val="007B06A9"/>
    <w:rsid w:val="007B074E"/>
    <w:rsid w:val="007B077E"/>
    <w:rsid w:val="007B07A8"/>
    <w:rsid w:val="007B0941"/>
    <w:rsid w:val="007B099F"/>
    <w:rsid w:val="007B0C1C"/>
    <w:rsid w:val="007B1165"/>
    <w:rsid w:val="007B11E4"/>
    <w:rsid w:val="007B125B"/>
    <w:rsid w:val="007B1262"/>
    <w:rsid w:val="007B13B2"/>
    <w:rsid w:val="007B13BF"/>
    <w:rsid w:val="007B1568"/>
    <w:rsid w:val="007B15E8"/>
    <w:rsid w:val="007B171A"/>
    <w:rsid w:val="007B1737"/>
    <w:rsid w:val="007B198C"/>
    <w:rsid w:val="007B19E3"/>
    <w:rsid w:val="007B1D10"/>
    <w:rsid w:val="007B1E64"/>
    <w:rsid w:val="007B1E75"/>
    <w:rsid w:val="007B1EE3"/>
    <w:rsid w:val="007B2039"/>
    <w:rsid w:val="007B23B7"/>
    <w:rsid w:val="007B24C5"/>
    <w:rsid w:val="007B26B7"/>
    <w:rsid w:val="007B2866"/>
    <w:rsid w:val="007B28E4"/>
    <w:rsid w:val="007B2D78"/>
    <w:rsid w:val="007B2E01"/>
    <w:rsid w:val="007B2E51"/>
    <w:rsid w:val="007B2F13"/>
    <w:rsid w:val="007B2F6C"/>
    <w:rsid w:val="007B2FE2"/>
    <w:rsid w:val="007B3515"/>
    <w:rsid w:val="007B3570"/>
    <w:rsid w:val="007B3615"/>
    <w:rsid w:val="007B390C"/>
    <w:rsid w:val="007B3914"/>
    <w:rsid w:val="007B3985"/>
    <w:rsid w:val="007B3BAE"/>
    <w:rsid w:val="007B3C20"/>
    <w:rsid w:val="007B3C5A"/>
    <w:rsid w:val="007B413F"/>
    <w:rsid w:val="007B430C"/>
    <w:rsid w:val="007B44C8"/>
    <w:rsid w:val="007B4640"/>
    <w:rsid w:val="007B483A"/>
    <w:rsid w:val="007B4D50"/>
    <w:rsid w:val="007B4DC9"/>
    <w:rsid w:val="007B50BE"/>
    <w:rsid w:val="007B51BF"/>
    <w:rsid w:val="007B5523"/>
    <w:rsid w:val="007B554B"/>
    <w:rsid w:val="007B55EE"/>
    <w:rsid w:val="007B5A67"/>
    <w:rsid w:val="007B5B38"/>
    <w:rsid w:val="007B5C95"/>
    <w:rsid w:val="007B5EB0"/>
    <w:rsid w:val="007B5F66"/>
    <w:rsid w:val="007B6051"/>
    <w:rsid w:val="007B6154"/>
    <w:rsid w:val="007B61ED"/>
    <w:rsid w:val="007B63BA"/>
    <w:rsid w:val="007B6486"/>
    <w:rsid w:val="007B6497"/>
    <w:rsid w:val="007B64BF"/>
    <w:rsid w:val="007B64D4"/>
    <w:rsid w:val="007B65EE"/>
    <w:rsid w:val="007B65F0"/>
    <w:rsid w:val="007B6627"/>
    <w:rsid w:val="007B6665"/>
    <w:rsid w:val="007B67AA"/>
    <w:rsid w:val="007B6B37"/>
    <w:rsid w:val="007B6CDC"/>
    <w:rsid w:val="007B6E2C"/>
    <w:rsid w:val="007B71DB"/>
    <w:rsid w:val="007B71E5"/>
    <w:rsid w:val="007B73B1"/>
    <w:rsid w:val="007B7434"/>
    <w:rsid w:val="007B75E4"/>
    <w:rsid w:val="007B75ED"/>
    <w:rsid w:val="007B7621"/>
    <w:rsid w:val="007B7678"/>
    <w:rsid w:val="007B7726"/>
    <w:rsid w:val="007B787F"/>
    <w:rsid w:val="007B7A12"/>
    <w:rsid w:val="007B7BB7"/>
    <w:rsid w:val="007B7DF5"/>
    <w:rsid w:val="007C01C1"/>
    <w:rsid w:val="007C0233"/>
    <w:rsid w:val="007C02AF"/>
    <w:rsid w:val="007C0712"/>
    <w:rsid w:val="007C0BB0"/>
    <w:rsid w:val="007C0C32"/>
    <w:rsid w:val="007C0CF2"/>
    <w:rsid w:val="007C0E31"/>
    <w:rsid w:val="007C107A"/>
    <w:rsid w:val="007C1103"/>
    <w:rsid w:val="007C11A6"/>
    <w:rsid w:val="007C13D5"/>
    <w:rsid w:val="007C15F4"/>
    <w:rsid w:val="007C1811"/>
    <w:rsid w:val="007C1817"/>
    <w:rsid w:val="007C181E"/>
    <w:rsid w:val="007C1ACC"/>
    <w:rsid w:val="007C1DA5"/>
    <w:rsid w:val="007C1EDD"/>
    <w:rsid w:val="007C1EEB"/>
    <w:rsid w:val="007C1F6D"/>
    <w:rsid w:val="007C1F80"/>
    <w:rsid w:val="007C2013"/>
    <w:rsid w:val="007C201E"/>
    <w:rsid w:val="007C24EC"/>
    <w:rsid w:val="007C2641"/>
    <w:rsid w:val="007C27CA"/>
    <w:rsid w:val="007C291B"/>
    <w:rsid w:val="007C292B"/>
    <w:rsid w:val="007C2B9C"/>
    <w:rsid w:val="007C2D49"/>
    <w:rsid w:val="007C2DB0"/>
    <w:rsid w:val="007C2F1E"/>
    <w:rsid w:val="007C2F72"/>
    <w:rsid w:val="007C3113"/>
    <w:rsid w:val="007C32C0"/>
    <w:rsid w:val="007C336F"/>
    <w:rsid w:val="007C3412"/>
    <w:rsid w:val="007C34D0"/>
    <w:rsid w:val="007C3D0B"/>
    <w:rsid w:val="007C3D4A"/>
    <w:rsid w:val="007C3DB2"/>
    <w:rsid w:val="007C3E7A"/>
    <w:rsid w:val="007C3F47"/>
    <w:rsid w:val="007C3F98"/>
    <w:rsid w:val="007C3FC7"/>
    <w:rsid w:val="007C4096"/>
    <w:rsid w:val="007C444B"/>
    <w:rsid w:val="007C45CE"/>
    <w:rsid w:val="007C4637"/>
    <w:rsid w:val="007C49A0"/>
    <w:rsid w:val="007C49C6"/>
    <w:rsid w:val="007C4B18"/>
    <w:rsid w:val="007C4C2A"/>
    <w:rsid w:val="007C4D40"/>
    <w:rsid w:val="007C4DA4"/>
    <w:rsid w:val="007C4F76"/>
    <w:rsid w:val="007C50B2"/>
    <w:rsid w:val="007C5428"/>
    <w:rsid w:val="007C549C"/>
    <w:rsid w:val="007C56B4"/>
    <w:rsid w:val="007C5771"/>
    <w:rsid w:val="007C5E18"/>
    <w:rsid w:val="007C5EF2"/>
    <w:rsid w:val="007C636A"/>
    <w:rsid w:val="007C64F8"/>
    <w:rsid w:val="007C65BE"/>
    <w:rsid w:val="007C6742"/>
    <w:rsid w:val="007C6BEB"/>
    <w:rsid w:val="007C6C53"/>
    <w:rsid w:val="007C6DEB"/>
    <w:rsid w:val="007C6E3A"/>
    <w:rsid w:val="007C71F2"/>
    <w:rsid w:val="007C74D4"/>
    <w:rsid w:val="007C75DC"/>
    <w:rsid w:val="007C79D1"/>
    <w:rsid w:val="007C7A13"/>
    <w:rsid w:val="007C7D10"/>
    <w:rsid w:val="007C7D81"/>
    <w:rsid w:val="007C7FF1"/>
    <w:rsid w:val="007D01C3"/>
    <w:rsid w:val="007D02CF"/>
    <w:rsid w:val="007D044B"/>
    <w:rsid w:val="007D0532"/>
    <w:rsid w:val="007D0650"/>
    <w:rsid w:val="007D06E7"/>
    <w:rsid w:val="007D071E"/>
    <w:rsid w:val="007D0752"/>
    <w:rsid w:val="007D0799"/>
    <w:rsid w:val="007D0860"/>
    <w:rsid w:val="007D0866"/>
    <w:rsid w:val="007D0891"/>
    <w:rsid w:val="007D0985"/>
    <w:rsid w:val="007D0A87"/>
    <w:rsid w:val="007D0C3C"/>
    <w:rsid w:val="007D0C6D"/>
    <w:rsid w:val="007D0D7F"/>
    <w:rsid w:val="007D105A"/>
    <w:rsid w:val="007D11E8"/>
    <w:rsid w:val="007D1208"/>
    <w:rsid w:val="007D1556"/>
    <w:rsid w:val="007D15CD"/>
    <w:rsid w:val="007D175B"/>
    <w:rsid w:val="007D188D"/>
    <w:rsid w:val="007D1991"/>
    <w:rsid w:val="007D19E6"/>
    <w:rsid w:val="007D1C38"/>
    <w:rsid w:val="007D1F97"/>
    <w:rsid w:val="007D2023"/>
    <w:rsid w:val="007D2047"/>
    <w:rsid w:val="007D20DC"/>
    <w:rsid w:val="007D2225"/>
    <w:rsid w:val="007D22A0"/>
    <w:rsid w:val="007D25AC"/>
    <w:rsid w:val="007D26F2"/>
    <w:rsid w:val="007D27D0"/>
    <w:rsid w:val="007D2952"/>
    <w:rsid w:val="007D2953"/>
    <w:rsid w:val="007D2A16"/>
    <w:rsid w:val="007D2B98"/>
    <w:rsid w:val="007D2C43"/>
    <w:rsid w:val="007D30FE"/>
    <w:rsid w:val="007D32B3"/>
    <w:rsid w:val="007D333E"/>
    <w:rsid w:val="007D338B"/>
    <w:rsid w:val="007D35A8"/>
    <w:rsid w:val="007D3768"/>
    <w:rsid w:val="007D394D"/>
    <w:rsid w:val="007D3B73"/>
    <w:rsid w:val="007D3C04"/>
    <w:rsid w:val="007D3CD0"/>
    <w:rsid w:val="007D441E"/>
    <w:rsid w:val="007D452F"/>
    <w:rsid w:val="007D46C8"/>
    <w:rsid w:val="007D490D"/>
    <w:rsid w:val="007D4999"/>
    <w:rsid w:val="007D49FA"/>
    <w:rsid w:val="007D4BCB"/>
    <w:rsid w:val="007D4C35"/>
    <w:rsid w:val="007D500F"/>
    <w:rsid w:val="007D5275"/>
    <w:rsid w:val="007D53DB"/>
    <w:rsid w:val="007D58DE"/>
    <w:rsid w:val="007D5951"/>
    <w:rsid w:val="007D5965"/>
    <w:rsid w:val="007D5C1A"/>
    <w:rsid w:val="007D5CC8"/>
    <w:rsid w:val="007D5E42"/>
    <w:rsid w:val="007D5E7F"/>
    <w:rsid w:val="007D5FD1"/>
    <w:rsid w:val="007D6014"/>
    <w:rsid w:val="007D604A"/>
    <w:rsid w:val="007D62CC"/>
    <w:rsid w:val="007D63CE"/>
    <w:rsid w:val="007D657A"/>
    <w:rsid w:val="007D67AF"/>
    <w:rsid w:val="007D67D4"/>
    <w:rsid w:val="007D6866"/>
    <w:rsid w:val="007D69B9"/>
    <w:rsid w:val="007D6A76"/>
    <w:rsid w:val="007D6B9C"/>
    <w:rsid w:val="007D6CEB"/>
    <w:rsid w:val="007D6CED"/>
    <w:rsid w:val="007D6E24"/>
    <w:rsid w:val="007D6FE7"/>
    <w:rsid w:val="007D70F2"/>
    <w:rsid w:val="007D745F"/>
    <w:rsid w:val="007D7493"/>
    <w:rsid w:val="007D7557"/>
    <w:rsid w:val="007D75D0"/>
    <w:rsid w:val="007D7606"/>
    <w:rsid w:val="007D76DF"/>
    <w:rsid w:val="007D7781"/>
    <w:rsid w:val="007D7BC8"/>
    <w:rsid w:val="007D7C71"/>
    <w:rsid w:val="007D7E7A"/>
    <w:rsid w:val="007E0083"/>
    <w:rsid w:val="007E023E"/>
    <w:rsid w:val="007E0281"/>
    <w:rsid w:val="007E064E"/>
    <w:rsid w:val="007E0A11"/>
    <w:rsid w:val="007E0B16"/>
    <w:rsid w:val="007E0BB5"/>
    <w:rsid w:val="007E0CDF"/>
    <w:rsid w:val="007E0F4A"/>
    <w:rsid w:val="007E0F5F"/>
    <w:rsid w:val="007E11EA"/>
    <w:rsid w:val="007E11F5"/>
    <w:rsid w:val="007E15E3"/>
    <w:rsid w:val="007E15F9"/>
    <w:rsid w:val="007E1A8F"/>
    <w:rsid w:val="007E1C37"/>
    <w:rsid w:val="007E1D5C"/>
    <w:rsid w:val="007E1D8E"/>
    <w:rsid w:val="007E1F1D"/>
    <w:rsid w:val="007E2378"/>
    <w:rsid w:val="007E2423"/>
    <w:rsid w:val="007E24DD"/>
    <w:rsid w:val="007E270A"/>
    <w:rsid w:val="007E27AE"/>
    <w:rsid w:val="007E2973"/>
    <w:rsid w:val="007E299D"/>
    <w:rsid w:val="007E2DA8"/>
    <w:rsid w:val="007E2EB7"/>
    <w:rsid w:val="007E2F1A"/>
    <w:rsid w:val="007E303F"/>
    <w:rsid w:val="007E314E"/>
    <w:rsid w:val="007E31AA"/>
    <w:rsid w:val="007E32BE"/>
    <w:rsid w:val="007E32D5"/>
    <w:rsid w:val="007E3424"/>
    <w:rsid w:val="007E389D"/>
    <w:rsid w:val="007E39B6"/>
    <w:rsid w:val="007E3E5C"/>
    <w:rsid w:val="007E4049"/>
    <w:rsid w:val="007E4158"/>
    <w:rsid w:val="007E41CB"/>
    <w:rsid w:val="007E4724"/>
    <w:rsid w:val="007E499D"/>
    <w:rsid w:val="007E4A1B"/>
    <w:rsid w:val="007E4A3A"/>
    <w:rsid w:val="007E4A89"/>
    <w:rsid w:val="007E4AC0"/>
    <w:rsid w:val="007E4AEB"/>
    <w:rsid w:val="007E4B10"/>
    <w:rsid w:val="007E4E1F"/>
    <w:rsid w:val="007E501D"/>
    <w:rsid w:val="007E516D"/>
    <w:rsid w:val="007E52CA"/>
    <w:rsid w:val="007E57DB"/>
    <w:rsid w:val="007E5C5E"/>
    <w:rsid w:val="007E5D26"/>
    <w:rsid w:val="007E5E0A"/>
    <w:rsid w:val="007E5E6F"/>
    <w:rsid w:val="007E5F3D"/>
    <w:rsid w:val="007E600A"/>
    <w:rsid w:val="007E6117"/>
    <w:rsid w:val="007E61BB"/>
    <w:rsid w:val="007E646C"/>
    <w:rsid w:val="007E6663"/>
    <w:rsid w:val="007E66D8"/>
    <w:rsid w:val="007E6A03"/>
    <w:rsid w:val="007E6ADA"/>
    <w:rsid w:val="007E6BF1"/>
    <w:rsid w:val="007E6DFF"/>
    <w:rsid w:val="007E6E2A"/>
    <w:rsid w:val="007E6E3E"/>
    <w:rsid w:val="007E72F3"/>
    <w:rsid w:val="007E7433"/>
    <w:rsid w:val="007E7470"/>
    <w:rsid w:val="007E763E"/>
    <w:rsid w:val="007E7671"/>
    <w:rsid w:val="007E78F7"/>
    <w:rsid w:val="007E7A55"/>
    <w:rsid w:val="007E7B2A"/>
    <w:rsid w:val="007E7B8F"/>
    <w:rsid w:val="007E7DA1"/>
    <w:rsid w:val="007E7DF8"/>
    <w:rsid w:val="007E7E4D"/>
    <w:rsid w:val="007E7E6E"/>
    <w:rsid w:val="007F0048"/>
    <w:rsid w:val="007F00DB"/>
    <w:rsid w:val="007F0160"/>
    <w:rsid w:val="007F0368"/>
    <w:rsid w:val="007F066E"/>
    <w:rsid w:val="007F0798"/>
    <w:rsid w:val="007F09F4"/>
    <w:rsid w:val="007F0A5C"/>
    <w:rsid w:val="007F0B7B"/>
    <w:rsid w:val="007F0DDE"/>
    <w:rsid w:val="007F0DF5"/>
    <w:rsid w:val="007F0FCE"/>
    <w:rsid w:val="007F1084"/>
    <w:rsid w:val="007F10DD"/>
    <w:rsid w:val="007F126B"/>
    <w:rsid w:val="007F13BD"/>
    <w:rsid w:val="007F14D6"/>
    <w:rsid w:val="007F14EE"/>
    <w:rsid w:val="007F1535"/>
    <w:rsid w:val="007F163E"/>
    <w:rsid w:val="007F16B6"/>
    <w:rsid w:val="007F1788"/>
    <w:rsid w:val="007F1ADC"/>
    <w:rsid w:val="007F1AFB"/>
    <w:rsid w:val="007F1D72"/>
    <w:rsid w:val="007F1DE6"/>
    <w:rsid w:val="007F1F9C"/>
    <w:rsid w:val="007F1F9E"/>
    <w:rsid w:val="007F2350"/>
    <w:rsid w:val="007F235D"/>
    <w:rsid w:val="007F25FA"/>
    <w:rsid w:val="007F2886"/>
    <w:rsid w:val="007F29CE"/>
    <w:rsid w:val="007F2C37"/>
    <w:rsid w:val="007F2DC7"/>
    <w:rsid w:val="007F2E97"/>
    <w:rsid w:val="007F2F83"/>
    <w:rsid w:val="007F2FE7"/>
    <w:rsid w:val="007F3072"/>
    <w:rsid w:val="007F30B3"/>
    <w:rsid w:val="007F3274"/>
    <w:rsid w:val="007F334F"/>
    <w:rsid w:val="007F361D"/>
    <w:rsid w:val="007F3767"/>
    <w:rsid w:val="007F385D"/>
    <w:rsid w:val="007F3885"/>
    <w:rsid w:val="007F39F8"/>
    <w:rsid w:val="007F3A03"/>
    <w:rsid w:val="007F3B47"/>
    <w:rsid w:val="007F3E92"/>
    <w:rsid w:val="007F41C0"/>
    <w:rsid w:val="007F4280"/>
    <w:rsid w:val="007F43D2"/>
    <w:rsid w:val="007F455F"/>
    <w:rsid w:val="007F4560"/>
    <w:rsid w:val="007F46D4"/>
    <w:rsid w:val="007F4715"/>
    <w:rsid w:val="007F48A6"/>
    <w:rsid w:val="007F48EA"/>
    <w:rsid w:val="007F4C63"/>
    <w:rsid w:val="007F5019"/>
    <w:rsid w:val="007F507B"/>
    <w:rsid w:val="007F5136"/>
    <w:rsid w:val="007F54C7"/>
    <w:rsid w:val="007F5504"/>
    <w:rsid w:val="007F55E3"/>
    <w:rsid w:val="007F56AC"/>
    <w:rsid w:val="007F579D"/>
    <w:rsid w:val="007F585D"/>
    <w:rsid w:val="007F5A7B"/>
    <w:rsid w:val="007F5BF7"/>
    <w:rsid w:val="007F5E3E"/>
    <w:rsid w:val="007F5F34"/>
    <w:rsid w:val="007F5F35"/>
    <w:rsid w:val="007F5F75"/>
    <w:rsid w:val="007F5FBC"/>
    <w:rsid w:val="007F603D"/>
    <w:rsid w:val="007F60C9"/>
    <w:rsid w:val="007F6175"/>
    <w:rsid w:val="007F62A1"/>
    <w:rsid w:val="007F62B9"/>
    <w:rsid w:val="007F6438"/>
    <w:rsid w:val="007F675D"/>
    <w:rsid w:val="007F68FA"/>
    <w:rsid w:val="007F69E0"/>
    <w:rsid w:val="007F6D12"/>
    <w:rsid w:val="007F6E94"/>
    <w:rsid w:val="007F6FF4"/>
    <w:rsid w:val="007F71C3"/>
    <w:rsid w:val="007F7318"/>
    <w:rsid w:val="007F742A"/>
    <w:rsid w:val="007F7450"/>
    <w:rsid w:val="007F7680"/>
    <w:rsid w:val="007F76CD"/>
    <w:rsid w:val="007F7963"/>
    <w:rsid w:val="007F7AC5"/>
    <w:rsid w:val="007F7DD3"/>
    <w:rsid w:val="007F7F45"/>
    <w:rsid w:val="007F7F94"/>
    <w:rsid w:val="008003EE"/>
    <w:rsid w:val="008003F1"/>
    <w:rsid w:val="008006EC"/>
    <w:rsid w:val="008009CE"/>
    <w:rsid w:val="00800A3F"/>
    <w:rsid w:val="00800C0F"/>
    <w:rsid w:val="00800EC7"/>
    <w:rsid w:val="008011FA"/>
    <w:rsid w:val="00801504"/>
    <w:rsid w:val="0080153D"/>
    <w:rsid w:val="0080165D"/>
    <w:rsid w:val="00801B24"/>
    <w:rsid w:val="00801BF4"/>
    <w:rsid w:val="00801CCE"/>
    <w:rsid w:val="00802015"/>
    <w:rsid w:val="00802123"/>
    <w:rsid w:val="00802269"/>
    <w:rsid w:val="008022A0"/>
    <w:rsid w:val="0080231C"/>
    <w:rsid w:val="0080269E"/>
    <w:rsid w:val="00802A59"/>
    <w:rsid w:val="00802B70"/>
    <w:rsid w:val="00802F6F"/>
    <w:rsid w:val="00802FB8"/>
    <w:rsid w:val="008030B4"/>
    <w:rsid w:val="008031AE"/>
    <w:rsid w:val="0080341D"/>
    <w:rsid w:val="00803553"/>
    <w:rsid w:val="008036F2"/>
    <w:rsid w:val="00803823"/>
    <w:rsid w:val="00803A18"/>
    <w:rsid w:val="00803B21"/>
    <w:rsid w:val="00803B92"/>
    <w:rsid w:val="00803E64"/>
    <w:rsid w:val="00803ED8"/>
    <w:rsid w:val="0080403E"/>
    <w:rsid w:val="0080458B"/>
    <w:rsid w:val="00804846"/>
    <w:rsid w:val="0080486B"/>
    <w:rsid w:val="00804874"/>
    <w:rsid w:val="00804BEC"/>
    <w:rsid w:val="00804D97"/>
    <w:rsid w:val="0080502B"/>
    <w:rsid w:val="00805037"/>
    <w:rsid w:val="008050D2"/>
    <w:rsid w:val="0080513B"/>
    <w:rsid w:val="00805356"/>
    <w:rsid w:val="0080544E"/>
    <w:rsid w:val="008055AB"/>
    <w:rsid w:val="00805947"/>
    <w:rsid w:val="00805A5F"/>
    <w:rsid w:val="00805CDF"/>
    <w:rsid w:val="008060A3"/>
    <w:rsid w:val="00806102"/>
    <w:rsid w:val="00806170"/>
    <w:rsid w:val="00806197"/>
    <w:rsid w:val="008061FA"/>
    <w:rsid w:val="00806399"/>
    <w:rsid w:val="00806411"/>
    <w:rsid w:val="008064F7"/>
    <w:rsid w:val="008065D6"/>
    <w:rsid w:val="008067B0"/>
    <w:rsid w:val="00806B94"/>
    <w:rsid w:val="00806EE6"/>
    <w:rsid w:val="00806F15"/>
    <w:rsid w:val="00806FCB"/>
    <w:rsid w:val="00806FFE"/>
    <w:rsid w:val="00807356"/>
    <w:rsid w:val="00807433"/>
    <w:rsid w:val="0080749F"/>
    <w:rsid w:val="008074EC"/>
    <w:rsid w:val="00807888"/>
    <w:rsid w:val="0080789B"/>
    <w:rsid w:val="00807959"/>
    <w:rsid w:val="008079CD"/>
    <w:rsid w:val="00807A4B"/>
    <w:rsid w:val="00807B15"/>
    <w:rsid w:val="00807DDD"/>
    <w:rsid w:val="00807E4C"/>
    <w:rsid w:val="00807EAB"/>
    <w:rsid w:val="00807EDB"/>
    <w:rsid w:val="00807F69"/>
    <w:rsid w:val="00810123"/>
    <w:rsid w:val="00810145"/>
    <w:rsid w:val="008102D4"/>
    <w:rsid w:val="008104F6"/>
    <w:rsid w:val="00810709"/>
    <w:rsid w:val="00810D12"/>
    <w:rsid w:val="00810D2E"/>
    <w:rsid w:val="00810E00"/>
    <w:rsid w:val="00810E07"/>
    <w:rsid w:val="00810FA0"/>
    <w:rsid w:val="00811061"/>
    <w:rsid w:val="008113EB"/>
    <w:rsid w:val="0081155A"/>
    <w:rsid w:val="008115CD"/>
    <w:rsid w:val="008115DF"/>
    <w:rsid w:val="00811687"/>
    <w:rsid w:val="008119CA"/>
    <w:rsid w:val="008119D7"/>
    <w:rsid w:val="00811B30"/>
    <w:rsid w:val="00811D17"/>
    <w:rsid w:val="00811F68"/>
    <w:rsid w:val="00812012"/>
    <w:rsid w:val="008124C5"/>
    <w:rsid w:val="00812537"/>
    <w:rsid w:val="0081291F"/>
    <w:rsid w:val="00812ACE"/>
    <w:rsid w:val="00812AD9"/>
    <w:rsid w:val="00812F62"/>
    <w:rsid w:val="00813259"/>
    <w:rsid w:val="00813419"/>
    <w:rsid w:val="0081361E"/>
    <w:rsid w:val="00813726"/>
    <w:rsid w:val="008137BB"/>
    <w:rsid w:val="008139A2"/>
    <w:rsid w:val="008139B6"/>
    <w:rsid w:val="008139C5"/>
    <w:rsid w:val="00813C5C"/>
    <w:rsid w:val="00813D0A"/>
    <w:rsid w:val="00813DAA"/>
    <w:rsid w:val="00813EE7"/>
    <w:rsid w:val="00813EEA"/>
    <w:rsid w:val="008140AE"/>
    <w:rsid w:val="0081410E"/>
    <w:rsid w:val="008142BC"/>
    <w:rsid w:val="008144A8"/>
    <w:rsid w:val="008145CF"/>
    <w:rsid w:val="008146EE"/>
    <w:rsid w:val="00814779"/>
    <w:rsid w:val="0081477C"/>
    <w:rsid w:val="00814A11"/>
    <w:rsid w:val="0081502B"/>
    <w:rsid w:val="00815509"/>
    <w:rsid w:val="008157D7"/>
    <w:rsid w:val="00815A92"/>
    <w:rsid w:val="00815ACA"/>
    <w:rsid w:val="00815C21"/>
    <w:rsid w:val="00815E9B"/>
    <w:rsid w:val="0081622A"/>
    <w:rsid w:val="00816344"/>
    <w:rsid w:val="00816696"/>
    <w:rsid w:val="00816739"/>
    <w:rsid w:val="008167C0"/>
    <w:rsid w:val="00816885"/>
    <w:rsid w:val="008169C4"/>
    <w:rsid w:val="00816C1D"/>
    <w:rsid w:val="00816CBD"/>
    <w:rsid w:val="00816DC1"/>
    <w:rsid w:val="00816FB5"/>
    <w:rsid w:val="00817266"/>
    <w:rsid w:val="00817299"/>
    <w:rsid w:val="008173D2"/>
    <w:rsid w:val="00817490"/>
    <w:rsid w:val="00817558"/>
    <w:rsid w:val="008176C9"/>
    <w:rsid w:val="008176DD"/>
    <w:rsid w:val="008177A0"/>
    <w:rsid w:val="00817CEF"/>
    <w:rsid w:val="00817D91"/>
    <w:rsid w:val="00820148"/>
    <w:rsid w:val="00820177"/>
    <w:rsid w:val="0082029B"/>
    <w:rsid w:val="008202E8"/>
    <w:rsid w:val="00820664"/>
    <w:rsid w:val="00820783"/>
    <w:rsid w:val="00820A40"/>
    <w:rsid w:val="00820DD8"/>
    <w:rsid w:val="00820E19"/>
    <w:rsid w:val="00820FF4"/>
    <w:rsid w:val="00820FF5"/>
    <w:rsid w:val="0082126A"/>
    <w:rsid w:val="008213C4"/>
    <w:rsid w:val="00821487"/>
    <w:rsid w:val="0082149F"/>
    <w:rsid w:val="008216F3"/>
    <w:rsid w:val="00821762"/>
    <w:rsid w:val="0082181A"/>
    <w:rsid w:val="0082186E"/>
    <w:rsid w:val="00821911"/>
    <w:rsid w:val="00821C17"/>
    <w:rsid w:val="00821F45"/>
    <w:rsid w:val="00821F4D"/>
    <w:rsid w:val="00821F69"/>
    <w:rsid w:val="008220DB"/>
    <w:rsid w:val="0082214C"/>
    <w:rsid w:val="0082239C"/>
    <w:rsid w:val="0082259F"/>
    <w:rsid w:val="008225F8"/>
    <w:rsid w:val="008226B7"/>
    <w:rsid w:val="008229F5"/>
    <w:rsid w:val="008229F6"/>
    <w:rsid w:val="00822A05"/>
    <w:rsid w:val="00822C70"/>
    <w:rsid w:val="00822CA9"/>
    <w:rsid w:val="00822D8A"/>
    <w:rsid w:val="00822E21"/>
    <w:rsid w:val="0082300B"/>
    <w:rsid w:val="00823040"/>
    <w:rsid w:val="008232CF"/>
    <w:rsid w:val="0082338E"/>
    <w:rsid w:val="00823486"/>
    <w:rsid w:val="008234C8"/>
    <w:rsid w:val="0082363F"/>
    <w:rsid w:val="008236DF"/>
    <w:rsid w:val="008238CC"/>
    <w:rsid w:val="00823A67"/>
    <w:rsid w:val="00823BD0"/>
    <w:rsid w:val="00823BE0"/>
    <w:rsid w:val="00823C43"/>
    <w:rsid w:val="00823D66"/>
    <w:rsid w:val="00823EFF"/>
    <w:rsid w:val="00823F11"/>
    <w:rsid w:val="0082433E"/>
    <w:rsid w:val="00824668"/>
    <w:rsid w:val="00824840"/>
    <w:rsid w:val="00824913"/>
    <w:rsid w:val="00824948"/>
    <w:rsid w:val="00824A46"/>
    <w:rsid w:val="00824B73"/>
    <w:rsid w:val="00824C13"/>
    <w:rsid w:val="00824C73"/>
    <w:rsid w:val="00824ECB"/>
    <w:rsid w:val="00825171"/>
    <w:rsid w:val="00825195"/>
    <w:rsid w:val="008251C1"/>
    <w:rsid w:val="00825207"/>
    <w:rsid w:val="0082548E"/>
    <w:rsid w:val="008256CA"/>
    <w:rsid w:val="00825750"/>
    <w:rsid w:val="008258A6"/>
    <w:rsid w:val="00825BB0"/>
    <w:rsid w:val="00825C27"/>
    <w:rsid w:val="00825C39"/>
    <w:rsid w:val="00825D4E"/>
    <w:rsid w:val="00825F84"/>
    <w:rsid w:val="00825FDA"/>
    <w:rsid w:val="008260B5"/>
    <w:rsid w:val="008260ED"/>
    <w:rsid w:val="00826132"/>
    <w:rsid w:val="0082654F"/>
    <w:rsid w:val="0082663C"/>
    <w:rsid w:val="00826808"/>
    <w:rsid w:val="0082687E"/>
    <w:rsid w:val="008269B3"/>
    <w:rsid w:val="00826EAE"/>
    <w:rsid w:val="00826FB7"/>
    <w:rsid w:val="00827043"/>
    <w:rsid w:val="0082714E"/>
    <w:rsid w:val="0082730B"/>
    <w:rsid w:val="0082763D"/>
    <w:rsid w:val="00827700"/>
    <w:rsid w:val="008278CF"/>
    <w:rsid w:val="00827A6E"/>
    <w:rsid w:val="00827AB1"/>
    <w:rsid w:val="00827AEF"/>
    <w:rsid w:val="00827BCD"/>
    <w:rsid w:val="00827DAE"/>
    <w:rsid w:val="00830037"/>
    <w:rsid w:val="008300C7"/>
    <w:rsid w:val="00830184"/>
    <w:rsid w:val="00830329"/>
    <w:rsid w:val="00830440"/>
    <w:rsid w:val="008305D3"/>
    <w:rsid w:val="008307F1"/>
    <w:rsid w:val="0083092B"/>
    <w:rsid w:val="008309C6"/>
    <w:rsid w:val="00830B6D"/>
    <w:rsid w:val="00830F3A"/>
    <w:rsid w:val="00830F8B"/>
    <w:rsid w:val="008313DD"/>
    <w:rsid w:val="008319E5"/>
    <w:rsid w:val="00831ACC"/>
    <w:rsid w:val="00831B67"/>
    <w:rsid w:val="00831E3F"/>
    <w:rsid w:val="00831E9A"/>
    <w:rsid w:val="00831FB0"/>
    <w:rsid w:val="00831FC5"/>
    <w:rsid w:val="0083215A"/>
    <w:rsid w:val="008324CF"/>
    <w:rsid w:val="00832738"/>
    <w:rsid w:val="00832780"/>
    <w:rsid w:val="00832878"/>
    <w:rsid w:val="00832A9A"/>
    <w:rsid w:val="00832B4B"/>
    <w:rsid w:val="00832D9D"/>
    <w:rsid w:val="00832F43"/>
    <w:rsid w:val="008330D3"/>
    <w:rsid w:val="00833119"/>
    <w:rsid w:val="00833355"/>
    <w:rsid w:val="00833482"/>
    <w:rsid w:val="008335CC"/>
    <w:rsid w:val="008335CD"/>
    <w:rsid w:val="0083372D"/>
    <w:rsid w:val="00833872"/>
    <w:rsid w:val="00833B3C"/>
    <w:rsid w:val="00833E8F"/>
    <w:rsid w:val="00833F9D"/>
    <w:rsid w:val="00834155"/>
    <w:rsid w:val="008342A9"/>
    <w:rsid w:val="00834385"/>
    <w:rsid w:val="008343AB"/>
    <w:rsid w:val="0083442B"/>
    <w:rsid w:val="008344A7"/>
    <w:rsid w:val="00834576"/>
    <w:rsid w:val="008345A9"/>
    <w:rsid w:val="0083469D"/>
    <w:rsid w:val="00834736"/>
    <w:rsid w:val="00834B9F"/>
    <w:rsid w:val="00834F32"/>
    <w:rsid w:val="00834FB8"/>
    <w:rsid w:val="008350CB"/>
    <w:rsid w:val="00835355"/>
    <w:rsid w:val="008358F5"/>
    <w:rsid w:val="00835A03"/>
    <w:rsid w:val="00835BCD"/>
    <w:rsid w:val="00835CDB"/>
    <w:rsid w:val="00835EF6"/>
    <w:rsid w:val="008363AE"/>
    <w:rsid w:val="0083643D"/>
    <w:rsid w:val="0083663B"/>
    <w:rsid w:val="008366CA"/>
    <w:rsid w:val="00836728"/>
    <w:rsid w:val="00836740"/>
    <w:rsid w:val="0083678B"/>
    <w:rsid w:val="008368C6"/>
    <w:rsid w:val="00836977"/>
    <w:rsid w:val="00836A51"/>
    <w:rsid w:val="00836AEF"/>
    <w:rsid w:val="008372B8"/>
    <w:rsid w:val="008374C4"/>
    <w:rsid w:val="00837527"/>
    <w:rsid w:val="008375CD"/>
    <w:rsid w:val="00837669"/>
    <w:rsid w:val="0083771D"/>
    <w:rsid w:val="00837B6E"/>
    <w:rsid w:val="00837C33"/>
    <w:rsid w:val="00837DA7"/>
    <w:rsid w:val="00837DDB"/>
    <w:rsid w:val="00837F6B"/>
    <w:rsid w:val="0084013F"/>
    <w:rsid w:val="00840161"/>
    <w:rsid w:val="008403FC"/>
    <w:rsid w:val="0084041A"/>
    <w:rsid w:val="0084063F"/>
    <w:rsid w:val="008406D4"/>
    <w:rsid w:val="00840869"/>
    <w:rsid w:val="008409D4"/>
    <w:rsid w:val="00840A5B"/>
    <w:rsid w:val="00840A77"/>
    <w:rsid w:val="00840B33"/>
    <w:rsid w:val="00840B35"/>
    <w:rsid w:val="00840E62"/>
    <w:rsid w:val="00840F20"/>
    <w:rsid w:val="00841174"/>
    <w:rsid w:val="00841289"/>
    <w:rsid w:val="00841524"/>
    <w:rsid w:val="008415DC"/>
    <w:rsid w:val="008416FE"/>
    <w:rsid w:val="0084178D"/>
    <w:rsid w:val="00841AE7"/>
    <w:rsid w:val="00842041"/>
    <w:rsid w:val="00842074"/>
    <w:rsid w:val="00842318"/>
    <w:rsid w:val="00842491"/>
    <w:rsid w:val="008425B4"/>
    <w:rsid w:val="00842855"/>
    <w:rsid w:val="00842958"/>
    <w:rsid w:val="00842AE5"/>
    <w:rsid w:val="00842E66"/>
    <w:rsid w:val="00842F07"/>
    <w:rsid w:val="00842F2A"/>
    <w:rsid w:val="008430CB"/>
    <w:rsid w:val="0084316A"/>
    <w:rsid w:val="0084323D"/>
    <w:rsid w:val="008433D6"/>
    <w:rsid w:val="0084357E"/>
    <w:rsid w:val="0084381C"/>
    <w:rsid w:val="0084391A"/>
    <w:rsid w:val="00843B41"/>
    <w:rsid w:val="00843C95"/>
    <w:rsid w:val="00843F62"/>
    <w:rsid w:val="00844148"/>
    <w:rsid w:val="0084417C"/>
    <w:rsid w:val="0084425E"/>
    <w:rsid w:val="008442BD"/>
    <w:rsid w:val="008443FE"/>
    <w:rsid w:val="008444F9"/>
    <w:rsid w:val="00844509"/>
    <w:rsid w:val="0084460E"/>
    <w:rsid w:val="00844997"/>
    <w:rsid w:val="00844D13"/>
    <w:rsid w:val="00844FB7"/>
    <w:rsid w:val="008451BC"/>
    <w:rsid w:val="008456B4"/>
    <w:rsid w:val="008456E5"/>
    <w:rsid w:val="00845718"/>
    <w:rsid w:val="0084574A"/>
    <w:rsid w:val="0084588A"/>
    <w:rsid w:val="0084591C"/>
    <w:rsid w:val="00845948"/>
    <w:rsid w:val="00845967"/>
    <w:rsid w:val="008459FB"/>
    <w:rsid w:val="00845A56"/>
    <w:rsid w:val="00845B4B"/>
    <w:rsid w:val="00845C09"/>
    <w:rsid w:val="00845C4A"/>
    <w:rsid w:val="00845F20"/>
    <w:rsid w:val="0084605B"/>
    <w:rsid w:val="00846214"/>
    <w:rsid w:val="00846222"/>
    <w:rsid w:val="00846284"/>
    <w:rsid w:val="008462C8"/>
    <w:rsid w:val="0084646A"/>
    <w:rsid w:val="008465BF"/>
    <w:rsid w:val="0084663B"/>
    <w:rsid w:val="0084666A"/>
    <w:rsid w:val="00846797"/>
    <w:rsid w:val="00846902"/>
    <w:rsid w:val="0084693B"/>
    <w:rsid w:val="008469F5"/>
    <w:rsid w:val="00846B1F"/>
    <w:rsid w:val="00846B7B"/>
    <w:rsid w:val="00846D55"/>
    <w:rsid w:val="00847060"/>
    <w:rsid w:val="00847301"/>
    <w:rsid w:val="0084735B"/>
    <w:rsid w:val="00847400"/>
    <w:rsid w:val="008475FE"/>
    <w:rsid w:val="0084788C"/>
    <w:rsid w:val="008478C4"/>
    <w:rsid w:val="00847C11"/>
    <w:rsid w:val="00847C41"/>
    <w:rsid w:val="00847E1C"/>
    <w:rsid w:val="00847F30"/>
    <w:rsid w:val="00847FFC"/>
    <w:rsid w:val="00850040"/>
    <w:rsid w:val="008500FB"/>
    <w:rsid w:val="008503F4"/>
    <w:rsid w:val="00850936"/>
    <w:rsid w:val="00850BBB"/>
    <w:rsid w:val="00850D1C"/>
    <w:rsid w:val="00850F1A"/>
    <w:rsid w:val="008513E8"/>
    <w:rsid w:val="0085145A"/>
    <w:rsid w:val="008514D2"/>
    <w:rsid w:val="008515AB"/>
    <w:rsid w:val="00851676"/>
    <w:rsid w:val="00851926"/>
    <w:rsid w:val="00851A78"/>
    <w:rsid w:val="00851ACC"/>
    <w:rsid w:val="00851C9A"/>
    <w:rsid w:val="00851D1E"/>
    <w:rsid w:val="00851D51"/>
    <w:rsid w:val="00851FBA"/>
    <w:rsid w:val="00852046"/>
    <w:rsid w:val="0085216A"/>
    <w:rsid w:val="00852637"/>
    <w:rsid w:val="008526A1"/>
    <w:rsid w:val="00852728"/>
    <w:rsid w:val="00852881"/>
    <w:rsid w:val="0085294B"/>
    <w:rsid w:val="008529B9"/>
    <w:rsid w:val="00852C94"/>
    <w:rsid w:val="00852EBA"/>
    <w:rsid w:val="00853218"/>
    <w:rsid w:val="0085324A"/>
    <w:rsid w:val="008532C8"/>
    <w:rsid w:val="00853961"/>
    <w:rsid w:val="00853AAE"/>
    <w:rsid w:val="00853B06"/>
    <w:rsid w:val="00853C4F"/>
    <w:rsid w:val="0085407B"/>
    <w:rsid w:val="00854208"/>
    <w:rsid w:val="00854849"/>
    <w:rsid w:val="00854D51"/>
    <w:rsid w:val="00854D55"/>
    <w:rsid w:val="00854D7D"/>
    <w:rsid w:val="00854E62"/>
    <w:rsid w:val="00854E7F"/>
    <w:rsid w:val="00855152"/>
    <w:rsid w:val="008556D4"/>
    <w:rsid w:val="008557E7"/>
    <w:rsid w:val="00855878"/>
    <w:rsid w:val="008558BB"/>
    <w:rsid w:val="00855A2D"/>
    <w:rsid w:val="00855B7D"/>
    <w:rsid w:val="00855C40"/>
    <w:rsid w:val="00855C43"/>
    <w:rsid w:val="00855CAC"/>
    <w:rsid w:val="00855DAB"/>
    <w:rsid w:val="00855EDD"/>
    <w:rsid w:val="00856021"/>
    <w:rsid w:val="008568CE"/>
    <w:rsid w:val="00856951"/>
    <w:rsid w:val="00856AA2"/>
    <w:rsid w:val="00856EDE"/>
    <w:rsid w:val="00856EEF"/>
    <w:rsid w:val="00857055"/>
    <w:rsid w:val="0085720D"/>
    <w:rsid w:val="008572E7"/>
    <w:rsid w:val="00857386"/>
    <w:rsid w:val="008575A3"/>
    <w:rsid w:val="008575C4"/>
    <w:rsid w:val="008575F7"/>
    <w:rsid w:val="00857731"/>
    <w:rsid w:val="00857765"/>
    <w:rsid w:val="0085777F"/>
    <w:rsid w:val="008577E4"/>
    <w:rsid w:val="00857881"/>
    <w:rsid w:val="00857933"/>
    <w:rsid w:val="00857976"/>
    <w:rsid w:val="00857A91"/>
    <w:rsid w:val="00857B5D"/>
    <w:rsid w:val="00857E2A"/>
    <w:rsid w:val="008600A1"/>
    <w:rsid w:val="0086022C"/>
    <w:rsid w:val="008604D4"/>
    <w:rsid w:val="00860687"/>
    <w:rsid w:val="0086071C"/>
    <w:rsid w:val="00860876"/>
    <w:rsid w:val="008608A9"/>
    <w:rsid w:val="0086096C"/>
    <w:rsid w:val="00860A83"/>
    <w:rsid w:val="00860E66"/>
    <w:rsid w:val="00860F27"/>
    <w:rsid w:val="00860FE2"/>
    <w:rsid w:val="00861361"/>
    <w:rsid w:val="008613BA"/>
    <w:rsid w:val="008613D3"/>
    <w:rsid w:val="0086159C"/>
    <w:rsid w:val="00861BD4"/>
    <w:rsid w:val="00861E2D"/>
    <w:rsid w:val="00861FB3"/>
    <w:rsid w:val="00861FC6"/>
    <w:rsid w:val="00862020"/>
    <w:rsid w:val="0086205A"/>
    <w:rsid w:val="0086216A"/>
    <w:rsid w:val="00862412"/>
    <w:rsid w:val="00862443"/>
    <w:rsid w:val="008626D8"/>
    <w:rsid w:val="00862777"/>
    <w:rsid w:val="008627DA"/>
    <w:rsid w:val="00862A04"/>
    <w:rsid w:val="00862D8C"/>
    <w:rsid w:val="00862DAF"/>
    <w:rsid w:val="00862E29"/>
    <w:rsid w:val="00863176"/>
    <w:rsid w:val="0086359A"/>
    <w:rsid w:val="00863736"/>
    <w:rsid w:val="008637A2"/>
    <w:rsid w:val="00863843"/>
    <w:rsid w:val="00863B24"/>
    <w:rsid w:val="00863C9C"/>
    <w:rsid w:val="0086445D"/>
    <w:rsid w:val="008644D0"/>
    <w:rsid w:val="0086474C"/>
    <w:rsid w:val="008647E9"/>
    <w:rsid w:val="008649B2"/>
    <w:rsid w:val="00864A10"/>
    <w:rsid w:val="00864C4D"/>
    <w:rsid w:val="00864C94"/>
    <w:rsid w:val="00864D43"/>
    <w:rsid w:val="00864DF0"/>
    <w:rsid w:val="00864E1C"/>
    <w:rsid w:val="00864EA9"/>
    <w:rsid w:val="00864EAE"/>
    <w:rsid w:val="00865188"/>
    <w:rsid w:val="008651F9"/>
    <w:rsid w:val="00865254"/>
    <w:rsid w:val="0086531E"/>
    <w:rsid w:val="0086594B"/>
    <w:rsid w:val="0086596E"/>
    <w:rsid w:val="00866178"/>
    <w:rsid w:val="008661E2"/>
    <w:rsid w:val="0086638A"/>
    <w:rsid w:val="008664BB"/>
    <w:rsid w:val="008664DF"/>
    <w:rsid w:val="00866A01"/>
    <w:rsid w:val="00866DE3"/>
    <w:rsid w:val="00866F0D"/>
    <w:rsid w:val="00867463"/>
    <w:rsid w:val="00867490"/>
    <w:rsid w:val="008675F4"/>
    <w:rsid w:val="008678B7"/>
    <w:rsid w:val="008679B9"/>
    <w:rsid w:val="00867BA8"/>
    <w:rsid w:val="00867CCD"/>
    <w:rsid w:val="00867EB8"/>
    <w:rsid w:val="00867F46"/>
    <w:rsid w:val="008700B2"/>
    <w:rsid w:val="00870504"/>
    <w:rsid w:val="0087091B"/>
    <w:rsid w:val="0087097C"/>
    <w:rsid w:val="00870A49"/>
    <w:rsid w:val="00870BDB"/>
    <w:rsid w:val="00870BED"/>
    <w:rsid w:val="00870C46"/>
    <w:rsid w:val="00870E89"/>
    <w:rsid w:val="00870F7D"/>
    <w:rsid w:val="00870FD4"/>
    <w:rsid w:val="008710BC"/>
    <w:rsid w:val="008711FF"/>
    <w:rsid w:val="008712C3"/>
    <w:rsid w:val="008712D1"/>
    <w:rsid w:val="008716C5"/>
    <w:rsid w:val="008717D9"/>
    <w:rsid w:val="0087188F"/>
    <w:rsid w:val="00871A8B"/>
    <w:rsid w:val="00871A98"/>
    <w:rsid w:val="00871ADF"/>
    <w:rsid w:val="00871B4B"/>
    <w:rsid w:val="00871B5A"/>
    <w:rsid w:val="00871B7B"/>
    <w:rsid w:val="00871B89"/>
    <w:rsid w:val="00872064"/>
    <w:rsid w:val="008720BE"/>
    <w:rsid w:val="0087228A"/>
    <w:rsid w:val="008723BB"/>
    <w:rsid w:val="0087256D"/>
    <w:rsid w:val="008725F9"/>
    <w:rsid w:val="0087278C"/>
    <w:rsid w:val="008727B6"/>
    <w:rsid w:val="0087295D"/>
    <w:rsid w:val="00872AAA"/>
    <w:rsid w:val="00872C45"/>
    <w:rsid w:val="00872D2B"/>
    <w:rsid w:val="00872E58"/>
    <w:rsid w:val="00872F7E"/>
    <w:rsid w:val="008733DC"/>
    <w:rsid w:val="00873409"/>
    <w:rsid w:val="008734BD"/>
    <w:rsid w:val="0087350E"/>
    <w:rsid w:val="008735E2"/>
    <w:rsid w:val="00873694"/>
    <w:rsid w:val="00873767"/>
    <w:rsid w:val="008737A1"/>
    <w:rsid w:val="0087381A"/>
    <w:rsid w:val="00873902"/>
    <w:rsid w:val="00873A9A"/>
    <w:rsid w:val="00873AB1"/>
    <w:rsid w:val="00873ABB"/>
    <w:rsid w:val="00873D55"/>
    <w:rsid w:val="00873D97"/>
    <w:rsid w:val="00873DEB"/>
    <w:rsid w:val="00873E45"/>
    <w:rsid w:val="00873F01"/>
    <w:rsid w:val="00873F0B"/>
    <w:rsid w:val="00873F3A"/>
    <w:rsid w:val="00873FC3"/>
    <w:rsid w:val="0087423C"/>
    <w:rsid w:val="0087448A"/>
    <w:rsid w:val="00874633"/>
    <w:rsid w:val="00874941"/>
    <w:rsid w:val="00874B8F"/>
    <w:rsid w:val="00874C8F"/>
    <w:rsid w:val="00874D56"/>
    <w:rsid w:val="00874F2C"/>
    <w:rsid w:val="00874FCA"/>
    <w:rsid w:val="008751B9"/>
    <w:rsid w:val="0087542B"/>
    <w:rsid w:val="00875512"/>
    <w:rsid w:val="0087556D"/>
    <w:rsid w:val="0087595F"/>
    <w:rsid w:val="0087606E"/>
    <w:rsid w:val="0087615E"/>
    <w:rsid w:val="008761ED"/>
    <w:rsid w:val="00876623"/>
    <w:rsid w:val="00876742"/>
    <w:rsid w:val="00876773"/>
    <w:rsid w:val="00876AC0"/>
    <w:rsid w:val="00876EFC"/>
    <w:rsid w:val="008770E6"/>
    <w:rsid w:val="00877158"/>
    <w:rsid w:val="0087765A"/>
    <w:rsid w:val="0087798E"/>
    <w:rsid w:val="00877A2A"/>
    <w:rsid w:val="00877F5F"/>
    <w:rsid w:val="00880001"/>
    <w:rsid w:val="00880169"/>
    <w:rsid w:val="00880795"/>
    <w:rsid w:val="00880A7F"/>
    <w:rsid w:val="00880D7E"/>
    <w:rsid w:val="00880F0F"/>
    <w:rsid w:val="00880F20"/>
    <w:rsid w:val="00880FED"/>
    <w:rsid w:val="00881301"/>
    <w:rsid w:val="008813AD"/>
    <w:rsid w:val="00881503"/>
    <w:rsid w:val="00881582"/>
    <w:rsid w:val="008816EC"/>
    <w:rsid w:val="0088178E"/>
    <w:rsid w:val="00881C30"/>
    <w:rsid w:val="00881E12"/>
    <w:rsid w:val="00881F9F"/>
    <w:rsid w:val="00881FAC"/>
    <w:rsid w:val="008821D0"/>
    <w:rsid w:val="008827B0"/>
    <w:rsid w:val="0088289C"/>
    <w:rsid w:val="00882950"/>
    <w:rsid w:val="00882B06"/>
    <w:rsid w:val="00882B38"/>
    <w:rsid w:val="00882D59"/>
    <w:rsid w:val="00883056"/>
    <w:rsid w:val="0088314C"/>
    <w:rsid w:val="0088324F"/>
    <w:rsid w:val="008836F9"/>
    <w:rsid w:val="00883753"/>
    <w:rsid w:val="0088379C"/>
    <w:rsid w:val="00883A66"/>
    <w:rsid w:val="00883A70"/>
    <w:rsid w:val="00883B6F"/>
    <w:rsid w:val="00883BBE"/>
    <w:rsid w:val="00883D09"/>
    <w:rsid w:val="00883F3B"/>
    <w:rsid w:val="00883F66"/>
    <w:rsid w:val="00883F7D"/>
    <w:rsid w:val="0088434F"/>
    <w:rsid w:val="00884529"/>
    <w:rsid w:val="0088454A"/>
    <w:rsid w:val="00884642"/>
    <w:rsid w:val="0088464B"/>
    <w:rsid w:val="00884935"/>
    <w:rsid w:val="00884C5D"/>
    <w:rsid w:val="00884CDE"/>
    <w:rsid w:val="00884E18"/>
    <w:rsid w:val="008851B5"/>
    <w:rsid w:val="008851ED"/>
    <w:rsid w:val="0088567A"/>
    <w:rsid w:val="0088583B"/>
    <w:rsid w:val="00885950"/>
    <w:rsid w:val="0088595A"/>
    <w:rsid w:val="00885BD4"/>
    <w:rsid w:val="00885F71"/>
    <w:rsid w:val="00885F79"/>
    <w:rsid w:val="0088600F"/>
    <w:rsid w:val="00886061"/>
    <w:rsid w:val="00886137"/>
    <w:rsid w:val="008861A5"/>
    <w:rsid w:val="00886369"/>
    <w:rsid w:val="0088648E"/>
    <w:rsid w:val="00886566"/>
    <w:rsid w:val="008865A1"/>
    <w:rsid w:val="008865EB"/>
    <w:rsid w:val="00886660"/>
    <w:rsid w:val="00886691"/>
    <w:rsid w:val="008868D7"/>
    <w:rsid w:val="00886C9F"/>
    <w:rsid w:val="00886CAB"/>
    <w:rsid w:val="00886DEA"/>
    <w:rsid w:val="00886EB2"/>
    <w:rsid w:val="0088720D"/>
    <w:rsid w:val="00887243"/>
    <w:rsid w:val="008873E4"/>
    <w:rsid w:val="008875D7"/>
    <w:rsid w:val="00887BDF"/>
    <w:rsid w:val="00890119"/>
    <w:rsid w:val="008901C2"/>
    <w:rsid w:val="008904A7"/>
    <w:rsid w:val="008908A8"/>
    <w:rsid w:val="00890913"/>
    <w:rsid w:val="008909B0"/>
    <w:rsid w:val="00890A39"/>
    <w:rsid w:val="00890A3D"/>
    <w:rsid w:val="00890C10"/>
    <w:rsid w:val="00890CE9"/>
    <w:rsid w:val="00890D4E"/>
    <w:rsid w:val="00890DB3"/>
    <w:rsid w:val="00890DE7"/>
    <w:rsid w:val="00890FAC"/>
    <w:rsid w:val="00891130"/>
    <w:rsid w:val="0089119F"/>
    <w:rsid w:val="008914FF"/>
    <w:rsid w:val="008915D5"/>
    <w:rsid w:val="008916A3"/>
    <w:rsid w:val="00891722"/>
    <w:rsid w:val="00891A9A"/>
    <w:rsid w:val="00891C30"/>
    <w:rsid w:val="00891C48"/>
    <w:rsid w:val="00891E3F"/>
    <w:rsid w:val="00891EC0"/>
    <w:rsid w:val="008922A5"/>
    <w:rsid w:val="008922E9"/>
    <w:rsid w:val="00892436"/>
    <w:rsid w:val="0089245E"/>
    <w:rsid w:val="008924F7"/>
    <w:rsid w:val="008925D3"/>
    <w:rsid w:val="00892715"/>
    <w:rsid w:val="00892932"/>
    <w:rsid w:val="00892BF0"/>
    <w:rsid w:val="00892E73"/>
    <w:rsid w:val="008930EB"/>
    <w:rsid w:val="0089333A"/>
    <w:rsid w:val="008935B0"/>
    <w:rsid w:val="0089370A"/>
    <w:rsid w:val="008937F0"/>
    <w:rsid w:val="00893A7B"/>
    <w:rsid w:val="00893BCB"/>
    <w:rsid w:val="00893C0F"/>
    <w:rsid w:val="00893FB8"/>
    <w:rsid w:val="0089415A"/>
    <w:rsid w:val="00894572"/>
    <w:rsid w:val="008947FC"/>
    <w:rsid w:val="008948A9"/>
    <w:rsid w:val="00894ABA"/>
    <w:rsid w:val="00894BF7"/>
    <w:rsid w:val="00894FA9"/>
    <w:rsid w:val="00895004"/>
    <w:rsid w:val="008950F6"/>
    <w:rsid w:val="00895399"/>
    <w:rsid w:val="00895559"/>
    <w:rsid w:val="00895580"/>
    <w:rsid w:val="0089564E"/>
    <w:rsid w:val="00895824"/>
    <w:rsid w:val="00895B98"/>
    <w:rsid w:val="00895BE6"/>
    <w:rsid w:val="00895C66"/>
    <w:rsid w:val="00895F3C"/>
    <w:rsid w:val="00895F6A"/>
    <w:rsid w:val="008962BA"/>
    <w:rsid w:val="008962E7"/>
    <w:rsid w:val="00896345"/>
    <w:rsid w:val="008966C6"/>
    <w:rsid w:val="008966CE"/>
    <w:rsid w:val="0089674B"/>
    <w:rsid w:val="00896A03"/>
    <w:rsid w:val="00896AC1"/>
    <w:rsid w:val="0089707B"/>
    <w:rsid w:val="00897615"/>
    <w:rsid w:val="00897621"/>
    <w:rsid w:val="0089764C"/>
    <w:rsid w:val="00897C02"/>
    <w:rsid w:val="00897E1E"/>
    <w:rsid w:val="00897EBD"/>
    <w:rsid w:val="008A0151"/>
    <w:rsid w:val="008A01A9"/>
    <w:rsid w:val="008A0351"/>
    <w:rsid w:val="008A06B3"/>
    <w:rsid w:val="008A06BF"/>
    <w:rsid w:val="008A07DA"/>
    <w:rsid w:val="008A07F6"/>
    <w:rsid w:val="008A08D2"/>
    <w:rsid w:val="008A095C"/>
    <w:rsid w:val="008A0993"/>
    <w:rsid w:val="008A0A0A"/>
    <w:rsid w:val="008A0A2B"/>
    <w:rsid w:val="008A0A2E"/>
    <w:rsid w:val="008A0AF9"/>
    <w:rsid w:val="008A0AFD"/>
    <w:rsid w:val="008A0E55"/>
    <w:rsid w:val="008A131D"/>
    <w:rsid w:val="008A1604"/>
    <w:rsid w:val="008A1629"/>
    <w:rsid w:val="008A1894"/>
    <w:rsid w:val="008A1C4C"/>
    <w:rsid w:val="008A1C50"/>
    <w:rsid w:val="008A1D51"/>
    <w:rsid w:val="008A1E48"/>
    <w:rsid w:val="008A220E"/>
    <w:rsid w:val="008A22E2"/>
    <w:rsid w:val="008A231A"/>
    <w:rsid w:val="008A23B6"/>
    <w:rsid w:val="008A2507"/>
    <w:rsid w:val="008A28AE"/>
    <w:rsid w:val="008A2A3D"/>
    <w:rsid w:val="008A2AEB"/>
    <w:rsid w:val="008A2B1B"/>
    <w:rsid w:val="008A2C5B"/>
    <w:rsid w:val="008A2D5D"/>
    <w:rsid w:val="008A2DED"/>
    <w:rsid w:val="008A2E30"/>
    <w:rsid w:val="008A30EF"/>
    <w:rsid w:val="008A3420"/>
    <w:rsid w:val="008A3592"/>
    <w:rsid w:val="008A36BE"/>
    <w:rsid w:val="008A36FC"/>
    <w:rsid w:val="008A37C3"/>
    <w:rsid w:val="008A37E4"/>
    <w:rsid w:val="008A3805"/>
    <w:rsid w:val="008A3AE5"/>
    <w:rsid w:val="008A3CC0"/>
    <w:rsid w:val="008A3F62"/>
    <w:rsid w:val="008A3FDB"/>
    <w:rsid w:val="008A415A"/>
    <w:rsid w:val="008A42F8"/>
    <w:rsid w:val="008A4403"/>
    <w:rsid w:val="008A4446"/>
    <w:rsid w:val="008A4542"/>
    <w:rsid w:val="008A46DC"/>
    <w:rsid w:val="008A496F"/>
    <w:rsid w:val="008A4A47"/>
    <w:rsid w:val="008A4C61"/>
    <w:rsid w:val="008A4EEE"/>
    <w:rsid w:val="008A4F19"/>
    <w:rsid w:val="008A4FC9"/>
    <w:rsid w:val="008A50E1"/>
    <w:rsid w:val="008A5165"/>
    <w:rsid w:val="008A542D"/>
    <w:rsid w:val="008A5B56"/>
    <w:rsid w:val="008A5E73"/>
    <w:rsid w:val="008A6173"/>
    <w:rsid w:val="008A6355"/>
    <w:rsid w:val="008A6451"/>
    <w:rsid w:val="008A64AC"/>
    <w:rsid w:val="008A6598"/>
    <w:rsid w:val="008A65F9"/>
    <w:rsid w:val="008A6839"/>
    <w:rsid w:val="008A68BC"/>
    <w:rsid w:val="008A6973"/>
    <w:rsid w:val="008A6AAE"/>
    <w:rsid w:val="008A6E4B"/>
    <w:rsid w:val="008A6F29"/>
    <w:rsid w:val="008A6F36"/>
    <w:rsid w:val="008A7462"/>
    <w:rsid w:val="008A768A"/>
    <w:rsid w:val="008A79AF"/>
    <w:rsid w:val="008A7B04"/>
    <w:rsid w:val="008A7C2E"/>
    <w:rsid w:val="008A7D1B"/>
    <w:rsid w:val="008A7E3B"/>
    <w:rsid w:val="008A7EA0"/>
    <w:rsid w:val="008A7FE9"/>
    <w:rsid w:val="008B0021"/>
    <w:rsid w:val="008B0049"/>
    <w:rsid w:val="008B020A"/>
    <w:rsid w:val="008B0247"/>
    <w:rsid w:val="008B026B"/>
    <w:rsid w:val="008B0FE5"/>
    <w:rsid w:val="008B10FF"/>
    <w:rsid w:val="008B12C9"/>
    <w:rsid w:val="008B153C"/>
    <w:rsid w:val="008B1574"/>
    <w:rsid w:val="008B18A7"/>
    <w:rsid w:val="008B1D8D"/>
    <w:rsid w:val="008B1DE3"/>
    <w:rsid w:val="008B1DF5"/>
    <w:rsid w:val="008B1EF0"/>
    <w:rsid w:val="008B1F8C"/>
    <w:rsid w:val="008B2140"/>
    <w:rsid w:val="008B214D"/>
    <w:rsid w:val="008B25F9"/>
    <w:rsid w:val="008B27F0"/>
    <w:rsid w:val="008B29D2"/>
    <w:rsid w:val="008B2A5C"/>
    <w:rsid w:val="008B2DC1"/>
    <w:rsid w:val="008B2E3B"/>
    <w:rsid w:val="008B2E43"/>
    <w:rsid w:val="008B3053"/>
    <w:rsid w:val="008B311F"/>
    <w:rsid w:val="008B327D"/>
    <w:rsid w:val="008B3432"/>
    <w:rsid w:val="008B3574"/>
    <w:rsid w:val="008B35B6"/>
    <w:rsid w:val="008B392D"/>
    <w:rsid w:val="008B39DE"/>
    <w:rsid w:val="008B3D08"/>
    <w:rsid w:val="008B3E1F"/>
    <w:rsid w:val="008B426E"/>
    <w:rsid w:val="008B4427"/>
    <w:rsid w:val="008B47DD"/>
    <w:rsid w:val="008B4952"/>
    <w:rsid w:val="008B4AF9"/>
    <w:rsid w:val="008B4C2A"/>
    <w:rsid w:val="008B4E30"/>
    <w:rsid w:val="008B51B4"/>
    <w:rsid w:val="008B51B8"/>
    <w:rsid w:val="008B5899"/>
    <w:rsid w:val="008B5909"/>
    <w:rsid w:val="008B59B4"/>
    <w:rsid w:val="008B59CD"/>
    <w:rsid w:val="008B5B8D"/>
    <w:rsid w:val="008B5CB7"/>
    <w:rsid w:val="008B5DCD"/>
    <w:rsid w:val="008B5E1C"/>
    <w:rsid w:val="008B5FAE"/>
    <w:rsid w:val="008B6038"/>
    <w:rsid w:val="008B6468"/>
    <w:rsid w:val="008B664C"/>
    <w:rsid w:val="008B66C1"/>
    <w:rsid w:val="008B6715"/>
    <w:rsid w:val="008B6B1F"/>
    <w:rsid w:val="008B7159"/>
    <w:rsid w:val="008B7230"/>
    <w:rsid w:val="008B747A"/>
    <w:rsid w:val="008B7767"/>
    <w:rsid w:val="008B7896"/>
    <w:rsid w:val="008B7AB9"/>
    <w:rsid w:val="008B7C77"/>
    <w:rsid w:val="008B7CBB"/>
    <w:rsid w:val="008B7D9E"/>
    <w:rsid w:val="008C0096"/>
    <w:rsid w:val="008C0420"/>
    <w:rsid w:val="008C0461"/>
    <w:rsid w:val="008C0602"/>
    <w:rsid w:val="008C06E6"/>
    <w:rsid w:val="008C0766"/>
    <w:rsid w:val="008C08AD"/>
    <w:rsid w:val="008C091F"/>
    <w:rsid w:val="008C09C6"/>
    <w:rsid w:val="008C0CF8"/>
    <w:rsid w:val="008C0DB4"/>
    <w:rsid w:val="008C0E1B"/>
    <w:rsid w:val="008C0E8F"/>
    <w:rsid w:val="008C0FF7"/>
    <w:rsid w:val="008C1073"/>
    <w:rsid w:val="008C13DD"/>
    <w:rsid w:val="008C15E4"/>
    <w:rsid w:val="008C161F"/>
    <w:rsid w:val="008C1728"/>
    <w:rsid w:val="008C1765"/>
    <w:rsid w:val="008C1A49"/>
    <w:rsid w:val="008C1A97"/>
    <w:rsid w:val="008C1BCE"/>
    <w:rsid w:val="008C1D93"/>
    <w:rsid w:val="008C1DE1"/>
    <w:rsid w:val="008C1F48"/>
    <w:rsid w:val="008C2144"/>
    <w:rsid w:val="008C251E"/>
    <w:rsid w:val="008C26F5"/>
    <w:rsid w:val="008C2B7F"/>
    <w:rsid w:val="008C2BE3"/>
    <w:rsid w:val="008C2D0B"/>
    <w:rsid w:val="008C2DD7"/>
    <w:rsid w:val="008C3077"/>
    <w:rsid w:val="008C316B"/>
    <w:rsid w:val="008C328A"/>
    <w:rsid w:val="008C335C"/>
    <w:rsid w:val="008C3518"/>
    <w:rsid w:val="008C36C8"/>
    <w:rsid w:val="008C379B"/>
    <w:rsid w:val="008C3873"/>
    <w:rsid w:val="008C390D"/>
    <w:rsid w:val="008C3982"/>
    <w:rsid w:val="008C3A9A"/>
    <w:rsid w:val="008C3BA1"/>
    <w:rsid w:val="008C3C07"/>
    <w:rsid w:val="008C3CA1"/>
    <w:rsid w:val="008C3E98"/>
    <w:rsid w:val="008C3FFB"/>
    <w:rsid w:val="008C419B"/>
    <w:rsid w:val="008C41A1"/>
    <w:rsid w:val="008C41E9"/>
    <w:rsid w:val="008C42A4"/>
    <w:rsid w:val="008C43D6"/>
    <w:rsid w:val="008C45E0"/>
    <w:rsid w:val="008C48A0"/>
    <w:rsid w:val="008C48C5"/>
    <w:rsid w:val="008C49AD"/>
    <w:rsid w:val="008C4A35"/>
    <w:rsid w:val="008C4B43"/>
    <w:rsid w:val="008C4D6F"/>
    <w:rsid w:val="008C4F96"/>
    <w:rsid w:val="008C5187"/>
    <w:rsid w:val="008C5464"/>
    <w:rsid w:val="008C55EE"/>
    <w:rsid w:val="008C563E"/>
    <w:rsid w:val="008C5712"/>
    <w:rsid w:val="008C57E9"/>
    <w:rsid w:val="008C59ED"/>
    <w:rsid w:val="008C5A28"/>
    <w:rsid w:val="008C5B17"/>
    <w:rsid w:val="008C5B7E"/>
    <w:rsid w:val="008C6338"/>
    <w:rsid w:val="008C6362"/>
    <w:rsid w:val="008C6659"/>
    <w:rsid w:val="008C6820"/>
    <w:rsid w:val="008C68DE"/>
    <w:rsid w:val="008C6A23"/>
    <w:rsid w:val="008C6A80"/>
    <w:rsid w:val="008C6AF6"/>
    <w:rsid w:val="008C6B6E"/>
    <w:rsid w:val="008C6B70"/>
    <w:rsid w:val="008C6C60"/>
    <w:rsid w:val="008C6D4C"/>
    <w:rsid w:val="008C6D54"/>
    <w:rsid w:val="008C7097"/>
    <w:rsid w:val="008C70E2"/>
    <w:rsid w:val="008C729B"/>
    <w:rsid w:val="008C72F8"/>
    <w:rsid w:val="008C730F"/>
    <w:rsid w:val="008C7326"/>
    <w:rsid w:val="008C7450"/>
    <w:rsid w:val="008C75A0"/>
    <w:rsid w:val="008C7637"/>
    <w:rsid w:val="008C7704"/>
    <w:rsid w:val="008C7842"/>
    <w:rsid w:val="008C7875"/>
    <w:rsid w:val="008C79E6"/>
    <w:rsid w:val="008C7B41"/>
    <w:rsid w:val="008D02C5"/>
    <w:rsid w:val="008D0370"/>
    <w:rsid w:val="008D06BF"/>
    <w:rsid w:val="008D07BF"/>
    <w:rsid w:val="008D0800"/>
    <w:rsid w:val="008D08EA"/>
    <w:rsid w:val="008D09B6"/>
    <w:rsid w:val="008D0CE1"/>
    <w:rsid w:val="008D0CE2"/>
    <w:rsid w:val="008D0EE5"/>
    <w:rsid w:val="008D1140"/>
    <w:rsid w:val="008D1208"/>
    <w:rsid w:val="008D127E"/>
    <w:rsid w:val="008D1282"/>
    <w:rsid w:val="008D1327"/>
    <w:rsid w:val="008D1443"/>
    <w:rsid w:val="008D1532"/>
    <w:rsid w:val="008D1685"/>
    <w:rsid w:val="008D1688"/>
    <w:rsid w:val="008D16E7"/>
    <w:rsid w:val="008D1730"/>
    <w:rsid w:val="008D17B8"/>
    <w:rsid w:val="008D1868"/>
    <w:rsid w:val="008D1C50"/>
    <w:rsid w:val="008D1E91"/>
    <w:rsid w:val="008D1EA6"/>
    <w:rsid w:val="008D2011"/>
    <w:rsid w:val="008D2063"/>
    <w:rsid w:val="008D225F"/>
    <w:rsid w:val="008D233C"/>
    <w:rsid w:val="008D23BE"/>
    <w:rsid w:val="008D2449"/>
    <w:rsid w:val="008D255F"/>
    <w:rsid w:val="008D259B"/>
    <w:rsid w:val="008D299C"/>
    <w:rsid w:val="008D2BCD"/>
    <w:rsid w:val="008D2BD6"/>
    <w:rsid w:val="008D2C88"/>
    <w:rsid w:val="008D2CFF"/>
    <w:rsid w:val="008D2ECB"/>
    <w:rsid w:val="008D3103"/>
    <w:rsid w:val="008D3658"/>
    <w:rsid w:val="008D3683"/>
    <w:rsid w:val="008D37A7"/>
    <w:rsid w:val="008D37E8"/>
    <w:rsid w:val="008D390E"/>
    <w:rsid w:val="008D3CF2"/>
    <w:rsid w:val="008D4139"/>
    <w:rsid w:val="008D4152"/>
    <w:rsid w:val="008D41E9"/>
    <w:rsid w:val="008D432F"/>
    <w:rsid w:val="008D444F"/>
    <w:rsid w:val="008D457F"/>
    <w:rsid w:val="008D45C5"/>
    <w:rsid w:val="008D4827"/>
    <w:rsid w:val="008D4861"/>
    <w:rsid w:val="008D48EE"/>
    <w:rsid w:val="008D4BDA"/>
    <w:rsid w:val="008D4BF2"/>
    <w:rsid w:val="008D4C87"/>
    <w:rsid w:val="008D4F26"/>
    <w:rsid w:val="008D513C"/>
    <w:rsid w:val="008D5537"/>
    <w:rsid w:val="008D58E6"/>
    <w:rsid w:val="008D5A85"/>
    <w:rsid w:val="008D5AE6"/>
    <w:rsid w:val="008D5D1A"/>
    <w:rsid w:val="008D5E1F"/>
    <w:rsid w:val="008D5F51"/>
    <w:rsid w:val="008D6208"/>
    <w:rsid w:val="008D6313"/>
    <w:rsid w:val="008D643B"/>
    <w:rsid w:val="008D68E8"/>
    <w:rsid w:val="008D6EC6"/>
    <w:rsid w:val="008D6FB2"/>
    <w:rsid w:val="008D6FC3"/>
    <w:rsid w:val="008D7031"/>
    <w:rsid w:val="008D7095"/>
    <w:rsid w:val="008D71AE"/>
    <w:rsid w:val="008D71C3"/>
    <w:rsid w:val="008D71DB"/>
    <w:rsid w:val="008D71E9"/>
    <w:rsid w:val="008D726A"/>
    <w:rsid w:val="008D76C2"/>
    <w:rsid w:val="008D79DC"/>
    <w:rsid w:val="008D7B58"/>
    <w:rsid w:val="008D7B6B"/>
    <w:rsid w:val="008D7BC2"/>
    <w:rsid w:val="008D7BD6"/>
    <w:rsid w:val="008D7D38"/>
    <w:rsid w:val="008D7ED5"/>
    <w:rsid w:val="008D7EFC"/>
    <w:rsid w:val="008E033B"/>
    <w:rsid w:val="008E0542"/>
    <w:rsid w:val="008E06F2"/>
    <w:rsid w:val="008E0DB5"/>
    <w:rsid w:val="008E1043"/>
    <w:rsid w:val="008E1270"/>
    <w:rsid w:val="008E1353"/>
    <w:rsid w:val="008E1454"/>
    <w:rsid w:val="008E16B6"/>
    <w:rsid w:val="008E190A"/>
    <w:rsid w:val="008E1962"/>
    <w:rsid w:val="008E1A55"/>
    <w:rsid w:val="008E1B4A"/>
    <w:rsid w:val="008E1BFD"/>
    <w:rsid w:val="008E1E62"/>
    <w:rsid w:val="008E1F44"/>
    <w:rsid w:val="008E1F7F"/>
    <w:rsid w:val="008E2173"/>
    <w:rsid w:val="008E21A5"/>
    <w:rsid w:val="008E2309"/>
    <w:rsid w:val="008E26C7"/>
    <w:rsid w:val="008E27BC"/>
    <w:rsid w:val="008E2ADD"/>
    <w:rsid w:val="008E2B93"/>
    <w:rsid w:val="008E2BC6"/>
    <w:rsid w:val="008E2C72"/>
    <w:rsid w:val="008E2CDB"/>
    <w:rsid w:val="008E2D2C"/>
    <w:rsid w:val="008E2D7A"/>
    <w:rsid w:val="008E2F2F"/>
    <w:rsid w:val="008E31EE"/>
    <w:rsid w:val="008E32EC"/>
    <w:rsid w:val="008E3364"/>
    <w:rsid w:val="008E33E9"/>
    <w:rsid w:val="008E3623"/>
    <w:rsid w:val="008E37CA"/>
    <w:rsid w:val="008E39CF"/>
    <w:rsid w:val="008E3A7E"/>
    <w:rsid w:val="008E45B5"/>
    <w:rsid w:val="008E45E3"/>
    <w:rsid w:val="008E4620"/>
    <w:rsid w:val="008E486B"/>
    <w:rsid w:val="008E4928"/>
    <w:rsid w:val="008E4A02"/>
    <w:rsid w:val="008E4BEB"/>
    <w:rsid w:val="008E4F61"/>
    <w:rsid w:val="008E5013"/>
    <w:rsid w:val="008E503D"/>
    <w:rsid w:val="008E5058"/>
    <w:rsid w:val="008E50A3"/>
    <w:rsid w:val="008E5114"/>
    <w:rsid w:val="008E517B"/>
    <w:rsid w:val="008E5252"/>
    <w:rsid w:val="008E531A"/>
    <w:rsid w:val="008E5375"/>
    <w:rsid w:val="008E54C3"/>
    <w:rsid w:val="008E5585"/>
    <w:rsid w:val="008E58D0"/>
    <w:rsid w:val="008E5955"/>
    <w:rsid w:val="008E5A31"/>
    <w:rsid w:val="008E5AE5"/>
    <w:rsid w:val="008E5BA5"/>
    <w:rsid w:val="008E5D10"/>
    <w:rsid w:val="008E5E3B"/>
    <w:rsid w:val="008E5EF0"/>
    <w:rsid w:val="008E607E"/>
    <w:rsid w:val="008E65DE"/>
    <w:rsid w:val="008E66A0"/>
    <w:rsid w:val="008E66C9"/>
    <w:rsid w:val="008E6735"/>
    <w:rsid w:val="008E680B"/>
    <w:rsid w:val="008E68E6"/>
    <w:rsid w:val="008E6AAE"/>
    <w:rsid w:val="008E6AE2"/>
    <w:rsid w:val="008E6B23"/>
    <w:rsid w:val="008E6DDA"/>
    <w:rsid w:val="008E6E7D"/>
    <w:rsid w:val="008E713D"/>
    <w:rsid w:val="008E725D"/>
    <w:rsid w:val="008E72B3"/>
    <w:rsid w:val="008E72C1"/>
    <w:rsid w:val="008E7429"/>
    <w:rsid w:val="008E750E"/>
    <w:rsid w:val="008E768D"/>
    <w:rsid w:val="008E76C2"/>
    <w:rsid w:val="008E76FF"/>
    <w:rsid w:val="008E7C22"/>
    <w:rsid w:val="008E7C64"/>
    <w:rsid w:val="008F029C"/>
    <w:rsid w:val="008F040C"/>
    <w:rsid w:val="008F0921"/>
    <w:rsid w:val="008F09A5"/>
    <w:rsid w:val="008F0A26"/>
    <w:rsid w:val="008F0CF6"/>
    <w:rsid w:val="008F0D6A"/>
    <w:rsid w:val="008F0EA3"/>
    <w:rsid w:val="008F0F89"/>
    <w:rsid w:val="008F154D"/>
    <w:rsid w:val="008F1617"/>
    <w:rsid w:val="008F1689"/>
    <w:rsid w:val="008F16F7"/>
    <w:rsid w:val="008F1757"/>
    <w:rsid w:val="008F17D0"/>
    <w:rsid w:val="008F17DF"/>
    <w:rsid w:val="008F188F"/>
    <w:rsid w:val="008F18F9"/>
    <w:rsid w:val="008F1A45"/>
    <w:rsid w:val="008F1B55"/>
    <w:rsid w:val="008F2308"/>
    <w:rsid w:val="008F2385"/>
    <w:rsid w:val="008F2437"/>
    <w:rsid w:val="008F2628"/>
    <w:rsid w:val="008F28D2"/>
    <w:rsid w:val="008F29F7"/>
    <w:rsid w:val="008F2A7E"/>
    <w:rsid w:val="008F2ABC"/>
    <w:rsid w:val="008F2AF7"/>
    <w:rsid w:val="008F2C32"/>
    <w:rsid w:val="008F2E2A"/>
    <w:rsid w:val="008F3450"/>
    <w:rsid w:val="008F364F"/>
    <w:rsid w:val="008F3828"/>
    <w:rsid w:val="008F3847"/>
    <w:rsid w:val="008F3862"/>
    <w:rsid w:val="008F38A5"/>
    <w:rsid w:val="008F38E4"/>
    <w:rsid w:val="008F3939"/>
    <w:rsid w:val="008F3A03"/>
    <w:rsid w:val="008F3A8B"/>
    <w:rsid w:val="008F3AD2"/>
    <w:rsid w:val="008F3C19"/>
    <w:rsid w:val="008F3C21"/>
    <w:rsid w:val="008F3E29"/>
    <w:rsid w:val="008F4081"/>
    <w:rsid w:val="008F40B5"/>
    <w:rsid w:val="008F4357"/>
    <w:rsid w:val="008F43FD"/>
    <w:rsid w:val="008F48A7"/>
    <w:rsid w:val="008F492C"/>
    <w:rsid w:val="008F4B21"/>
    <w:rsid w:val="008F4C54"/>
    <w:rsid w:val="008F4EA6"/>
    <w:rsid w:val="008F4FE9"/>
    <w:rsid w:val="008F4FF5"/>
    <w:rsid w:val="008F5194"/>
    <w:rsid w:val="008F51C7"/>
    <w:rsid w:val="008F51C9"/>
    <w:rsid w:val="008F5402"/>
    <w:rsid w:val="008F54F3"/>
    <w:rsid w:val="008F55BC"/>
    <w:rsid w:val="008F5708"/>
    <w:rsid w:val="008F5899"/>
    <w:rsid w:val="008F5AF1"/>
    <w:rsid w:val="008F5BAB"/>
    <w:rsid w:val="008F5E86"/>
    <w:rsid w:val="008F5F43"/>
    <w:rsid w:val="008F624E"/>
    <w:rsid w:val="008F63C3"/>
    <w:rsid w:val="008F64C7"/>
    <w:rsid w:val="008F65F9"/>
    <w:rsid w:val="008F671B"/>
    <w:rsid w:val="008F67F1"/>
    <w:rsid w:val="008F68B7"/>
    <w:rsid w:val="008F6966"/>
    <w:rsid w:val="008F6B19"/>
    <w:rsid w:val="008F6C42"/>
    <w:rsid w:val="008F6C63"/>
    <w:rsid w:val="008F6D16"/>
    <w:rsid w:val="008F6D85"/>
    <w:rsid w:val="008F6DDF"/>
    <w:rsid w:val="008F6E14"/>
    <w:rsid w:val="008F7103"/>
    <w:rsid w:val="008F722A"/>
    <w:rsid w:val="008F7492"/>
    <w:rsid w:val="008F7520"/>
    <w:rsid w:val="008F78EF"/>
    <w:rsid w:val="008F796A"/>
    <w:rsid w:val="008F7E57"/>
    <w:rsid w:val="008F7F27"/>
    <w:rsid w:val="008F7F34"/>
    <w:rsid w:val="009003AA"/>
    <w:rsid w:val="00900746"/>
    <w:rsid w:val="0090081D"/>
    <w:rsid w:val="0090096E"/>
    <w:rsid w:val="009009CA"/>
    <w:rsid w:val="00900A82"/>
    <w:rsid w:val="00900AAC"/>
    <w:rsid w:val="00900CE5"/>
    <w:rsid w:val="00900DDE"/>
    <w:rsid w:val="00900DE2"/>
    <w:rsid w:val="00900F9C"/>
    <w:rsid w:val="009010C2"/>
    <w:rsid w:val="009010F9"/>
    <w:rsid w:val="00901217"/>
    <w:rsid w:val="009012B7"/>
    <w:rsid w:val="00901591"/>
    <w:rsid w:val="0090170C"/>
    <w:rsid w:val="009019AD"/>
    <w:rsid w:val="00901AAB"/>
    <w:rsid w:val="00901C73"/>
    <w:rsid w:val="009020A5"/>
    <w:rsid w:val="0090240A"/>
    <w:rsid w:val="0090244A"/>
    <w:rsid w:val="009024C7"/>
    <w:rsid w:val="0090257B"/>
    <w:rsid w:val="009026EC"/>
    <w:rsid w:val="009029A1"/>
    <w:rsid w:val="00902BA9"/>
    <w:rsid w:val="00902D62"/>
    <w:rsid w:val="00902E07"/>
    <w:rsid w:val="00902ED6"/>
    <w:rsid w:val="00902EF1"/>
    <w:rsid w:val="00902F53"/>
    <w:rsid w:val="00903164"/>
    <w:rsid w:val="0090316B"/>
    <w:rsid w:val="00903395"/>
    <w:rsid w:val="0090343A"/>
    <w:rsid w:val="0090354B"/>
    <w:rsid w:val="00903897"/>
    <w:rsid w:val="009039D3"/>
    <w:rsid w:val="00903CEF"/>
    <w:rsid w:val="00903D44"/>
    <w:rsid w:val="00903E02"/>
    <w:rsid w:val="00903EB1"/>
    <w:rsid w:val="0090418D"/>
    <w:rsid w:val="0090476F"/>
    <w:rsid w:val="0090482E"/>
    <w:rsid w:val="00904843"/>
    <w:rsid w:val="00904971"/>
    <w:rsid w:val="00904E2A"/>
    <w:rsid w:val="00904EA5"/>
    <w:rsid w:val="00904ED8"/>
    <w:rsid w:val="00904F82"/>
    <w:rsid w:val="00905164"/>
    <w:rsid w:val="00905195"/>
    <w:rsid w:val="009051D4"/>
    <w:rsid w:val="0090528D"/>
    <w:rsid w:val="009054E0"/>
    <w:rsid w:val="00905586"/>
    <w:rsid w:val="00905686"/>
    <w:rsid w:val="0090585B"/>
    <w:rsid w:val="009059A5"/>
    <w:rsid w:val="00905F87"/>
    <w:rsid w:val="00905FA5"/>
    <w:rsid w:val="00906008"/>
    <w:rsid w:val="00906AFA"/>
    <w:rsid w:val="00906CB8"/>
    <w:rsid w:val="00906E56"/>
    <w:rsid w:val="00906FDF"/>
    <w:rsid w:val="0090706F"/>
    <w:rsid w:val="00907156"/>
    <w:rsid w:val="00907528"/>
    <w:rsid w:val="009075BE"/>
    <w:rsid w:val="009076B9"/>
    <w:rsid w:val="009079AA"/>
    <w:rsid w:val="009109EA"/>
    <w:rsid w:val="00910B2A"/>
    <w:rsid w:val="00910B56"/>
    <w:rsid w:val="00910DE7"/>
    <w:rsid w:val="00910E11"/>
    <w:rsid w:val="00910EB4"/>
    <w:rsid w:val="00910EBC"/>
    <w:rsid w:val="00911050"/>
    <w:rsid w:val="00911348"/>
    <w:rsid w:val="00911351"/>
    <w:rsid w:val="00911483"/>
    <w:rsid w:val="009114EB"/>
    <w:rsid w:val="00911964"/>
    <w:rsid w:val="00911BBF"/>
    <w:rsid w:val="00911C40"/>
    <w:rsid w:val="00911F2E"/>
    <w:rsid w:val="00911FAC"/>
    <w:rsid w:val="0091205A"/>
    <w:rsid w:val="009124C5"/>
    <w:rsid w:val="0091254E"/>
    <w:rsid w:val="0091261D"/>
    <w:rsid w:val="00912731"/>
    <w:rsid w:val="009127AC"/>
    <w:rsid w:val="00912920"/>
    <w:rsid w:val="00912987"/>
    <w:rsid w:val="00912A84"/>
    <w:rsid w:val="00912BF1"/>
    <w:rsid w:val="00912CE4"/>
    <w:rsid w:val="00912DA4"/>
    <w:rsid w:val="00912E77"/>
    <w:rsid w:val="0091323C"/>
    <w:rsid w:val="009133EA"/>
    <w:rsid w:val="00913695"/>
    <w:rsid w:val="009136E5"/>
    <w:rsid w:val="009137DD"/>
    <w:rsid w:val="00913817"/>
    <w:rsid w:val="0091381B"/>
    <w:rsid w:val="00913BE0"/>
    <w:rsid w:val="00914783"/>
    <w:rsid w:val="009148F4"/>
    <w:rsid w:val="00914ACC"/>
    <w:rsid w:val="00914AF9"/>
    <w:rsid w:val="00914DC6"/>
    <w:rsid w:val="00914EED"/>
    <w:rsid w:val="00915016"/>
    <w:rsid w:val="0091501E"/>
    <w:rsid w:val="00915134"/>
    <w:rsid w:val="009155AE"/>
    <w:rsid w:val="009155B4"/>
    <w:rsid w:val="00915659"/>
    <w:rsid w:val="0091587A"/>
    <w:rsid w:val="00915920"/>
    <w:rsid w:val="00915946"/>
    <w:rsid w:val="00915CB9"/>
    <w:rsid w:val="00915DF6"/>
    <w:rsid w:val="00915E61"/>
    <w:rsid w:val="00915F8F"/>
    <w:rsid w:val="009161EB"/>
    <w:rsid w:val="009162E0"/>
    <w:rsid w:val="00916465"/>
    <w:rsid w:val="009164AA"/>
    <w:rsid w:val="0091655E"/>
    <w:rsid w:val="0091697F"/>
    <w:rsid w:val="00916A5D"/>
    <w:rsid w:val="00916AEA"/>
    <w:rsid w:val="00916D65"/>
    <w:rsid w:val="0091761F"/>
    <w:rsid w:val="00917633"/>
    <w:rsid w:val="009177EB"/>
    <w:rsid w:val="00917A09"/>
    <w:rsid w:val="00917A7C"/>
    <w:rsid w:val="00917B3B"/>
    <w:rsid w:val="00917BEB"/>
    <w:rsid w:val="00917BED"/>
    <w:rsid w:val="0092002D"/>
    <w:rsid w:val="00920254"/>
    <w:rsid w:val="00920290"/>
    <w:rsid w:val="009203F1"/>
    <w:rsid w:val="0092061D"/>
    <w:rsid w:val="009207D8"/>
    <w:rsid w:val="00920962"/>
    <w:rsid w:val="00920B38"/>
    <w:rsid w:val="00920D72"/>
    <w:rsid w:val="0092104C"/>
    <w:rsid w:val="00921150"/>
    <w:rsid w:val="00921171"/>
    <w:rsid w:val="00921305"/>
    <w:rsid w:val="00921444"/>
    <w:rsid w:val="0092162E"/>
    <w:rsid w:val="0092184B"/>
    <w:rsid w:val="009219DF"/>
    <w:rsid w:val="00921A67"/>
    <w:rsid w:val="00921B55"/>
    <w:rsid w:val="00922475"/>
    <w:rsid w:val="009224F4"/>
    <w:rsid w:val="009228B1"/>
    <w:rsid w:val="0092299F"/>
    <w:rsid w:val="00922AA1"/>
    <w:rsid w:val="00922AF3"/>
    <w:rsid w:val="00922B3B"/>
    <w:rsid w:val="00922CAF"/>
    <w:rsid w:val="00922D06"/>
    <w:rsid w:val="00922D09"/>
    <w:rsid w:val="00922D31"/>
    <w:rsid w:val="00922E41"/>
    <w:rsid w:val="009230FC"/>
    <w:rsid w:val="00923352"/>
    <w:rsid w:val="00923438"/>
    <w:rsid w:val="00923573"/>
    <w:rsid w:val="009235BD"/>
    <w:rsid w:val="009238C1"/>
    <w:rsid w:val="0092391B"/>
    <w:rsid w:val="00923A64"/>
    <w:rsid w:val="00923B11"/>
    <w:rsid w:val="00923C73"/>
    <w:rsid w:val="00923F7F"/>
    <w:rsid w:val="00923FB8"/>
    <w:rsid w:val="00923FFA"/>
    <w:rsid w:val="00924388"/>
    <w:rsid w:val="0092455A"/>
    <w:rsid w:val="00924574"/>
    <w:rsid w:val="0092460F"/>
    <w:rsid w:val="00924670"/>
    <w:rsid w:val="00924735"/>
    <w:rsid w:val="009247B6"/>
    <w:rsid w:val="0092483F"/>
    <w:rsid w:val="00924930"/>
    <w:rsid w:val="00924BD8"/>
    <w:rsid w:val="00924CF9"/>
    <w:rsid w:val="00924D90"/>
    <w:rsid w:val="00924DC8"/>
    <w:rsid w:val="00924FA0"/>
    <w:rsid w:val="0092506A"/>
    <w:rsid w:val="009250C1"/>
    <w:rsid w:val="0092546B"/>
    <w:rsid w:val="009254BD"/>
    <w:rsid w:val="009257C4"/>
    <w:rsid w:val="009258BC"/>
    <w:rsid w:val="009258F2"/>
    <w:rsid w:val="00925988"/>
    <w:rsid w:val="00925998"/>
    <w:rsid w:val="00925BF2"/>
    <w:rsid w:val="00925C36"/>
    <w:rsid w:val="00925D01"/>
    <w:rsid w:val="00925D48"/>
    <w:rsid w:val="00925F1F"/>
    <w:rsid w:val="00925F3F"/>
    <w:rsid w:val="0092616F"/>
    <w:rsid w:val="009261D5"/>
    <w:rsid w:val="00926340"/>
    <w:rsid w:val="0092636C"/>
    <w:rsid w:val="0092653D"/>
    <w:rsid w:val="00926695"/>
    <w:rsid w:val="00926AFB"/>
    <w:rsid w:val="00926B11"/>
    <w:rsid w:val="00926B18"/>
    <w:rsid w:val="00926C73"/>
    <w:rsid w:val="00926CA6"/>
    <w:rsid w:val="00926CAB"/>
    <w:rsid w:val="00926DB9"/>
    <w:rsid w:val="00926E24"/>
    <w:rsid w:val="00926E89"/>
    <w:rsid w:val="00926EA5"/>
    <w:rsid w:val="00926F1B"/>
    <w:rsid w:val="00926FBF"/>
    <w:rsid w:val="00927154"/>
    <w:rsid w:val="009274B7"/>
    <w:rsid w:val="009274EE"/>
    <w:rsid w:val="0092750B"/>
    <w:rsid w:val="00927560"/>
    <w:rsid w:val="009279B8"/>
    <w:rsid w:val="00927BB3"/>
    <w:rsid w:val="00927E6F"/>
    <w:rsid w:val="00927E83"/>
    <w:rsid w:val="00927F65"/>
    <w:rsid w:val="00927FED"/>
    <w:rsid w:val="0093012B"/>
    <w:rsid w:val="009301B8"/>
    <w:rsid w:val="00930570"/>
    <w:rsid w:val="0093069F"/>
    <w:rsid w:val="0093082C"/>
    <w:rsid w:val="00930AC5"/>
    <w:rsid w:val="00930B95"/>
    <w:rsid w:val="00930BE5"/>
    <w:rsid w:val="00930D1A"/>
    <w:rsid w:val="00930D33"/>
    <w:rsid w:val="00930DC5"/>
    <w:rsid w:val="00930E6F"/>
    <w:rsid w:val="00931063"/>
    <w:rsid w:val="0093121E"/>
    <w:rsid w:val="0093136E"/>
    <w:rsid w:val="00931397"/>
    <w:rsid w:val="009314BF"/>
    <w:rsid w:val="009315D4"/>
    <w:rsid w:val="00931675"/>
    <w:rsid w:val="0093191A"/>
    <w:rsid w:val="00931B06"/>
    <w:rsid w:val="00931B65"/>
    <w:rsid w:val="00931B83"/>
    <w:rsid w:val="00931BE3"/>
    <w:rsid w:val="00931CEE"/>
    <w:rsid w:val="0093218E"/>
    <w:rsid w:val="0093229B"/>
    <w:rsid w:val="00932398"/>
    <w:rsid w:val="00932431"/>
    <w:rsid w:val="00932448"/>
    <w:rsid w:val="00932489"/>
    <w:rsid w:val="0093262A"/>
    <w:rsid w:val="00932A04"/>
    <w:rsid w:val="00932A86"/>
    <w:rsid w:val="00932AA4"/>
    <w:rsid w:val="00932CE3"/>
    <w:rsid w:val="00932F9E"/>
    <w:rsid w:val="00933133"/>
    <w:rsid w:val="00933178"/>
    <w:rsid w:val="00933192"/>
    <w:rsid w:val="00933208"/>
    <w:rsid w:val="0093345F"/>
    <w:rsid w:val="009338D8"/>
    <w:rsid w:val="00933A03"/>
    <w:rsid w:val="00933C0D"/>
    <w:rsid w:val="00933D46"/>
    <w:rsid w:val="00933D51"/>
    <w:rsid w:val="00933D81"/>
    <w:rsid w:val="00933DDD"/>
    <w:rsid w:val="00933FAC"/>
    <w:rsid w:val="00933FEA"/>
    <w:rsid w:val="00933FF7"/>
    <w:rsid w:val="00934007"/>
    <w:rsid w:val="00934129"/>
    <w:rsid w:val="0093416C"/>
    <w:rsid w:val="009341C6"/>
    <w:rsid w:val="009342DF"/>
    <w:rsid w:val="009343D7"/>
    <w:rsid w:val="009345A5"/>
    <w:rsid w:val="00934C27"/>
    <w:rsid w:val="00934C96"/>
    <w:rsid w:val="00934DEF"/>
    <w:rsid w:val="00934E20"/>
    <w:rsid w:val="00935045"/>
    <w:rsid w:val="009350C3"/>
    <w:rsid w:val="0093527B"/>
    <w:rsid w:val="009352EF"/>
    <w:rsid w:val="0093535F"/>
    <w:rsid w:val="00935383"/>
    <w:rsid w:val="009355A7"/>
    <w:rsid w:val="0093575B"/>
    <w:rsid w:val="009357CE"/>
    <w:rsid w:val="00935826"/>
    <w:rsid w:val="009358F0"/>
    <w:rsid w:val="00935BBB"/>
    <w:rsid w:val="00935D4E"/>
    <w:rsid w:val="00935F19"/>
    <w:rsid w:val="00936102"/>
    <w:rsid w:val="0093634B"/>
    <w:rsid w:val="0093654F"/>
    <w:rsid w:val="00936618"/>
    <w:rsid w:val="00936743"/>
    <w:rsid w:val="00936955"/>
    <w:rsid w:val="009369A1"/>
    <w:rsid w:val="00936A51"/>
    <w:rsid w:val="00936C9A"/>
    <w:rsid w:val="00936E68"/>
    <w:rsid w:val="009370F4"/>
    <w:rsid w:val="0093717C"/>
    <w:rsid w:val="00937209"/>
    <w:rsid w:val="009373AC"/>
    <w:rsid w:val="0093754B"/>
    <w:rsid w:val="00937700"/>
    <w:rsid w:val="00937800"/>
    <w:rsid w:val="009378CA"/>
    <w:rsid w:val="009379CB"/>
    <w:rsid w:val="009379FF"/>
    <w:rsid w:val="00937BD9"/>
    <w:rsid w:val="00937C4F"/>
    <w:rsid w:val="00937D0A"/>
    <w:rsid w:val="009400F8"/>
    <w:rsid w:val="00940267"/>
    <w:rsid w:val="009404E3"/>
    <w:rsid w:val="00940782"/>
    <w:rsid w:val="009407A5"/>
    <w:rsid w:val="00940AA7"/>
    <w:rsid w:val="0094130B"/>
    <w:rsid w:val="00941640"/>
    <w:rsid w:val="0094175B"/>
    <w:rsid w:val="0094184C"/>
    <w:rsid w:val="009418A9"/>
    <w:rsid w:val="00941928"/>
    <w:rsid w:val="00941935"/>
    <w:rsid w:val="00941A29"/>
    <w:rsid w:val="00941A90"/>
    <w:rsid w:val="00941AA8"/>
    <w:rsid w:val="00941E67"/>
    <w:rsid w:val="00942357"/>
    <w:rsid w:val="009428EC"/>
    <w:rsid w:val="00942951"/>
    <w:rsid w:val="00942BCA"/>
    <w:rsid w:val="00942CDD"/>
    <w:rsid w:val="00942D21"/>
    <w:rsid w:val="00942D25"/>
    <w:rsid w:val="00942D33"/>
    <w:rsid w:val="00943170"/>
    <w:rsid w:val="00943324"/>
    <w:rsid w:val="0094356A"/>
    <w:rsid w:val="00943590"/>
    <w:rsid w:val="009436D7"/>
    <w:rsid w:val="00943B3B"/>
    <w:rsid w:val="00943C47"/>
    <w:rsid w:val="00943E82"/>
    <w:rsid w:val="00943ECF"/>
    <w:rsid w:val="00943F24"/>
    <w:rsid w:val="00944547"/>
    <w:rsid w:val="00944651"/>
    <w:rsid w:val="009447DD"/>
    <w:rsid w:val="00944895"/>
    <w:rsid w:val="00944A4F"/>
    <w:rsid w:val="00944AB0"/>
    <w:rsid w:val="00944CD2"/>
    <w:rsid w:val="00944D08"/>
    <w:rsid w:val="00944DCF"/>
    <w:rsid w:val="00944F8D"/>
    <w:rsid w:val="009451FD"/>
    <w:rsid w:val="00945425"/>
    <w:rsid w:val="0094594F"/>
    <w:rsid w:val="00945B24"/>
    <w:rsid w:val="00945C5A"/>
    <w:rsid w:val="00945FF6"/>
    <w:rsid w:val="009461F3"/>
    <w:rsid w:val="00946202"/>
    <w:rsid w:val="009464BF"/>
    <w:rsid w:val="0094654F"/>
    <w:rsid w:val="0094657B"/>
    <w:rsid w:val="009465B1"/>
    <w:rsid w:val="00946998"/>
    <w:rsid w:val="00946D53"/>
    <w:rsid w:val="00946E02"/>
    <w:rsid w:val="00946E0A"/>
    <w:rsid w:val="00947146"/>
    <w:rsid w:val="009476C9"/>
    <w:rsid w:val="009477AA"/>
    <w:rsid w:val="00947C79"/>
    <w:rsid w:val="00947D07"/>
    <w:rsid w:val="00947D0F"/>
    <w:rsid w:val="00947FFE"/>
    <w:rsid w:val="009505CB"/>
    <w:rsid w:val="0095080C"/>
    <w:rsid w:val="009509A0"/>
    <w:rsid w:val="009509D4"/>
    <w:rsid w:val="009509EF"/>
    <w:rsid w:val="00950AEB"/>
    <w:rsid w:val="00950BE6"/>
    <w:rsid w:val="00950C14"/>
    <w:rsid w:val="00950DED"/>
    <w:rsid w:val="009511F5"/>
    <w:rsid w:val="009511FA"/>
    <w:rsid w:val="00951221"/>
    <w:rsid w:val="00951396"/>
    <w:rsid w:val="00951404"/>
    <w:rsid w:val="0095153D"/>
    <w:rsid w:val="00951574"/>
    <w:rsid w:val="0095176F"/>
    <w:rsid w:val="00951783"/>
    <w:rsid w:val="009518E0"/>
    <w:rsid w:val="00951944"/>
    <w:rsid w:val="00951A27"/>
    <w:rsid w:val="00951C5D"/>
    <w:rsid w:val="00951E41"/>
    <w:rsid w:val="00951E78"/>
    <w:rsid w:val="00952063"/>
    <w:rsid w:val="00952423"/>
    <w:rsid w:val="00952B4A"/>
    <w:rsid w:val="00952C4C"/>
    <w:rsid w:val="00952CD9"/>
    <w:rsid w:val="00952FA6"/>
    <w:rsid w:val="00953500"/>
    <w:rsid w:val="009535BB"/>
    <w:rsid w:val="009535E1"/>
    <w:rsid w:val="009538DF"/>
    <w:rsid w:val="009539C3"/>
    <w:rsid w:val="00953B73"/>
    <w:rsid w:val="00953CC1"/>
    <w:rsid w:val="00953F1C"/>
    <w:rsid w:val="00953F83"/>
    <w:rsid w:val="00953FBA"/>
    <w:rsid w:val="0095401F"/>
    <w:rsid w:val="009542FD"/>
    <w:rsid w:val="00954452"/>
    <w:rsid w:val="0095446C"/>
    <w:rsid w:val="00954646"/>
    <w:rsid w:val="0095483E"/>
    <w:rsid w:val="0095492C"/>
    <w:rsid w:val="0095495C"/>
    <w:rsid w:val="0095496C"/>
    <w:rsid w:val="00954BA5"/>
    <w:rsid w:val="00954F10"/>
    <w:rsid w:val="00954F96"/>
    <w:rsid w:val="00955128"/>
    <w:rsid w:val="00955129"/>
    <w:rsid w:val="00955237"/>
    <w:rsid w:val="00955352"/>
    <w:rsid w:val="009553FC"/>
    <w:rsid w:val="0095563D"/>
    <w:rsid w:val="009559A1"/>
    <w:rsid w:val="00955A98"/>
    <w:rsid w:val="00955F30"/>
    <w:rsid w:val="00955F53"/>
    <w:rsid w:val="00956140"/>
    <w:rsid w:val="00956280"/>
    <w:rsid w:val="00956344"/>
    <w:rsid w:val="0095634C"/>
    <w:rsid w:val="00956383"/>
    <w:rsid w:val="00956508"/>
    <w:rsid w:val="0095658B"/>
    <w:rsid w:val="00956AF7"/>
    <w:rsid w:val="00956B15"/>
    <w:rsid w:val="00956DAC"/>
    <w:rsid w:val="00956E63"/>
    <w:rsid w:val="00957018"/>
    <w:rsid w:val="009571A6"/>
    <w:rsid w:val="009575C9"/>
    <w:rsid w:val="009575DA"/>
    <w:rsid w:val="0095767D"/>
    <w:rsid w:val="00957699"/>
    <w:rsid w:val="0095772E"/>
    <w:rsid w:val="00957B0F"/>
    <w:rsid w:val="00957B9D"/>
    <w:rsid w:val="00957D3E"/>
    <w:rsid w:val="00957DFC"/>
    <w:rsid w:val="009605DC"/>
    <w:rsid w:val="00960962"/>
    <w:rsid w:val="00960965"/>
    <w:rsid w:val="009609FB"/>
    <w:rsid w:val="00960A36"/>
    <w:rsid w:val="00960BED"/>
    <w:rsid w:val="00960C8E"/>
    <w:rsid w:val="0096105A"/>
    <w:rsid w:val="00961094"/>
    <w:rsid w:val="009611CF"/>
    <w:rsid w:val="009613E4"/>
    <w:rsid w:val="00961814"/>
    <w:rsid w:val="0096183B"/>
    <w:rsid w:val="009618E6"/>
    <w:rsid w:val="009619B1"/>
    <w:rsid w:val="009619BC"/>
    <w:rsid w:val="00961B0D"/>
    <w:rsid w:val="00961B22"/>
    <w:rsid w:val="00961BFC"/>
    <w:rsid w:val="00961CF9"/>
    <w:rsid w:val="00961E9F"/>
    <w:rsid w:val="00961FC0"/>
    <w:rsid w:val="0096201C"/>
    <w:rsid w:val="0096217A"/>
    <w:rsid w:val="00962470"/>
    <w:rsid w:val="0096252D"/>
    <w:rsid w:val="0096266C"/>
    <w:rsid w:val="00962732"/>
    <w:rsid w:val="00962884"/>
    <w:rsid w:val="009628D9"/>
    <w:rsid w:val="00962986"/>
    <w:rsid w:val="00962B5A"/>
    <w:rsid w:val="00962D26"/>
    <w:rsid w:val="00962DFE"/>
    <w:rsid w:val="00962FBD"/>
    <w:rsid w:val="00963038"/>
    <w:rsid w:val="0096325A"/>
    <w:rsid w:val="009632F1"/>
    <w:rsid w:val="0096362E"/>
    <w:rsid w:val="0096390D"/>
    <w:rsid w:val="00963B66"/>
    <w:rsid w:val="00963BE2"/>
    <w:rsid w:val="00963C97"/>
    <w:rsid w:val="009641C1"/>
    <w:rsid w:val="009641D0"/>
    <w:rsid w:val="009641E7"/>
    <w:rsid w:val="00964258"/>
    <w:rsid w:val="009642C4"/>
    <w:rsid w:val="0096460C"/>
    <w:rsid w:val="00964709"/>
    <w:rsid w:val="00964A49"/>
    <w:rsid w:val="00964AAE"/>
    <w:rsid w:val="00964BF4"/>
    <w:rsid w:val="00964DB8"/>
    <w:rsid w:val="00964EF7"/>
    <w:rsid w:val="00964F65"/>
    <w:rsid w:val="00965095"/>
    <w:rsid w:val="0096527A"/>
    <w:rsid w:val="0096533C"/>
    <w:rsid w:val="00965485"/>
    <w:rsid w:val="00965655"/>
    <w:rsid w:val="0096572B"/>
    <w:rsid w:val="009658E6"/>
    <w:rsid w:val="00965A9F"/>
    <w:rsid w:val="00965EB4"/>
    <w:rsid w:val="00965F90"/>
    <w:rsid w:val="00965FE4"/>
    <w:rsid w:val="00965FEE"/>
    <w:rsid w:val="0096605B"/>
    <w:rsid w:val="0096609C"/>
    <w:rsid w:val="009662AC"/>
    <w:rsid w:val="00966560"/>
    <w:rsid w:val="00966709"/>
    <w:rsid w:val="0096670D"/>
    <w:rsid w:val="00966A0E"/>
    <w:rsid w:val="0096709B"/>
    <w:rsid w:val="0096715D"/>
    <w:rsid w:val="0096717F"/>
    <w:rsid w:val="0096721D"/>
    <w:rsid w:val="009672E1"/>
    <w:rsid w:val="0096741A"/>
    <w:rsid w:val="009674C1"/>
    <w:rsid w:val="00967599"/>
    <w:rsid w:val="009675AB"/>
    <w:rsid w:val="009675D0"/>
    <w:rsid w:val="009676AA"/>
    <w:rsid w:val="00967A53"/>
    <w:rsid w:val="00967E2C"/>
    <w:rsid w:val="00967E60"/>
    <w:rsid w:val="00967E88"/>
    <w:rsid w:val="009701F7"/>
    <w:rsid w:val="00970228"/>
    <w:rsid w:val="009704E8"/>
    <w:rsid w:val="00970670"/>
    <w:rsid w:val="009707C4"/>
    <w:rsid w:val="00970C32"/>
    <w:rsid w:val="00970C8D"/>
    <w:rsid w:val="00970C9B"/>
    <w:rsid w:val="00970CAF"/>
    <w:rsid w:val="00970FBA"/>
    <w:rsid w:val="009710CE"/>
    <w:rsid w:val="00971230"/>
    <w:rsid w:val="00971379"/>
    <w:rsid w:val="00971521"/>
    <w:rsid w:val="009715CF"/>
    <w:rsid w:val="009716F2"/>
    <w:rsid w:val="0097198F"/>
    <w:rsid w:val="009719CB"/>
    <w:rsid w:val="00971FC0"/>
    <w:rsid w:val="009720FE"/>
    <w:rsid w:val="0097234D"/>
    <w:rsid w:val="009724CF"/>
    <w:rsid w:val="009724F9"/>
    <w:rsid w:val="009724FC"/>
    <w:rsid w:val="00972523"/>
    <w:rsid w:val="009727E8"/>
    <w:rsid w:val="0097299B"/>
    <w:rsid w:val="00972A11"/>
    <w:rsid w:val="00972BD9"/>
    <w:rsid w:val="00972BEE"/>
    <w:rsid w:val="00972CE2"/>
    <w:rsid w:val="00972D9E"/>
    <w:rsid w:val="00972E47"/>
    <w:rsid w:val="00972E84"/>
    <w:rsid w:val="00972FFE"/>
    <w:rsid w:val="009730C7"/>
    <w:rsid w:val="00973280"/>
    <w:rsid w:val="009732A2"/>
    <w:rsid w:val="009732B2"/>
    <w:rsid w:val="00973399"/>
    <w:rsid w:val="00973555"/>
    <w:rsid w:val="00973764"/>
    <w:rsid w:val="0097399C"/>
    <w:rsid w:val="00973A0F"/>
    <w:rsid w:val="00973C42"/>
    <w:rsid w:val="00973F9D"/>
    <w:rsid w:val="00973FD6"/>
    <w:rsid w:val="009744DB"/>
    <w:rsid w:val="00974919"/>
    <w:rsid w:val="00974B22"/>
    <w:rsid w:val="00974DAE"/>
    <w:rsid w:val="00974F56"/>
    <w:rsid w:val="0097554A"/>
    <w:rsid w:val="0097561F"/>
    <w:rsid w:val="00975EDC"/>
    <w:rsid w:val="009762F4"/>
    <w:rsid w:val="00976445"/>
    <w:rsid w:val="00976AFA"/>
    <w:rsid w:val="00976B03"/>
    <w:rsid w:val="00976B06"/>
    <w:rsid w:val="00976D27"/>
    <w:rsid w:val="00976DC9"/>
    <w:rsid w:val="00976DDD"/>
    <w:rsid w:val="00976E2B"/>
    <w:rsid w:val="00976E96"/>
    <w:rsid w:val="00976FED"/>
    <w:rsid w:val="0097703A"/>
    <w:rsid w:val="009773D3"/>
    <w:rsid w:val="0097750A"/>
    <w:rsid w:val="009779B3"/>
    <w:rsid w:val="00977B87"/>
    <w:rsid w:val="00977C0C"/>
    <w:rsid w:val="00977D70"/>
    <w:rsid w:val="0098012D"/>
    <w:rsid w:val="0098030C"/>
    <w:rsid w:val="0098072E"/>
    <w:rsid w:val="00980762"/>
    <w:rsid w:val="009808A4"/>
    <w:rsid w:val="009808C5"/>
    <w:rsid w:val="00980A43"/>
    <w:rsid w:val="009811B7"/>
    <w:rsid w:val="009812C4"/>
    <w:rsid w:val="0098134D"/>
    <w:rsid w:val="00981394"/>
    <w:rsid w:val="0098142F"/>
    <w:rsid w:val="0098152B"/>
    <w:rsid w:val="0098163A"/>
    <w:rsid w:val="00981813"/>
    <w:rsid w:val="00981A74"/>
    <w:rsid w:val="00981B63"/>
    <w:rsid w:val="00981E4D"/>
    <w:rsid w:val="00981EF4"/>
    <w:rsid w:val="009820A2"/>
    <w:rsid w:val="009822C5"/>
    <w:rsid w:val="00982354"/>
    <w:rsid w:val="009823E4"/>
    <w:rsid w:val="00982407"/>
    <w:rsid w:val="00982508"/>
    <w:rsid w:val="0098265A"/>
    <w:rsid w:val="009826FB"/>
    <w:rsid w:val="00982848"/>
    <w:rsid w:val="0098298D"/>
    <w:rsid w:val="009829C8"/>
    <w:rsid w:val="00982A80"/>
    <w:rsid w:val="00982ADD"/>
    <w:rsid w:val="00982CEE"/>
    <w:rsid w:val="00982DE6"/>
    <w:rsid w:val="00982E26"/>
    <w:rsid w:val="00982EF5"/>
    <w:rsid w:val="00983019"/>
    <w:rsid w:val="00983231"/>
    <w:rsid w:val="009832DA"/>
    <w:rsid w:val="00983371"/>
    <w:rsid w:val="00983387"/>
    <w:rsid w:val="009839A2"/>
    <w:rsid w:val="00983B89"/>
    <w:rsid w:val="00983C87"/>
    <w:rsid w:val="00983D29"/>
    <w:rsid w:val="00983D7C"/>
    <w:rsid w:val="00983EB4"/>
    <w:rsid w:val="00983F9D"/>
    <w:rsid w:val="00984003"/>
    <w:rsid w:val="00984236"/>
    <w:rsid w:val="00984310"/>
    <w:rsid w:val="009847EE"/>
    <w:rsid w:val="00984814"/>
    <w:rsid w:val="009849BA"/>
    <w:rsid w:val="009849CA"/>
    <w:rsid w:val="00984A1B"/>
    <w:rsid w:val="00984D40"/>
    <w:rsid w:val="009850FD"/>
    <w:rsid w:val="0098529D"/>
    <w:rsid w:val="00985535"/>
    <w:rsid w:val="00985768"/>
    <w:rsid w:val="00985EB0"/>
    <w:rsid w:val="009861B5"/>
    <w:rsid w:val="0098633C"/>
    <w:rsid w:val="00986363"/>
    <w:rsid w:val="00986849"/>
    <w:rsid w:val="00986924"/>
    <w:rsid w:val="00986967"/>
    <w:rsid w:val="00986C0A"/>
    <w:rsid w:val="00986C12"/>
    <w:rsid w:val="00986E58"/>
    <w:rsid w:val="00987192"/>
    <w:rsid w:val="009871BB"/>
    <w:rsid w:val="009871D1"/>
    <w:rsid w:val="009872F7"/>
    <w:rsid w:val="00987923"/>
    <w:rsid w:val="0098792E"/>
    <w:rsid w:val="00987AF0"/>
    <w:rsid w:val="00987C20"/>
    <w:rsid w:val="00987CEB"/>
    <w:rsid w:val="00987D53"/>
    <w:rsid w:val="00987F76"/>
    <w:rsid w:val="0099028B"/>
    <w:rsid w:val="00990358"/>
    <w:rsid w:val="00990560"/>
    <w:rsid w:val="00990601"/>
    <w:rsid w:val="00990676"/>
    <w:rsid w:val="00990955"/>
    <w:rsid w:val="00990A15"/>
    <w:rsid w:val="00990A5F"/>
    <w:rsid w:val="00990B35"/>
    <w:rsid w:val="00990C44"/>
    <w:rsid w:val="00990F04"/>
    <w:rsid w:val="00990F46"/>
    <w:rsid w:val="009911BC"/>
    <w:rsid w:val="00991221"/>
    <w:rsid w:val="00991462"/>
    <w:rsid w:val="00991734"/>
    <w:rsid w:val="009918AF"/>
    <w:rsid w:val="00991932"/>
    <w:rsid w:val="00991A27"/>
    <w:rsid w:val="00991B89"/>
    <w:rsid w:val="00992064"/>
    <w:rsid w:val="009921C6"/>
    <w:rsid w:val="009922E4"/>
    <w:rsid w:val="0099246E"/>
    <w:rsid w:val="00992B7D"/>
    <w:rsid w:val="00992D20"/>
    <w:rsid w:val="00992F7D"/>
    <w:rsid w:val="00992F99"/>
    <w:rsid w:val="0099304F"/>
    <w:rsid w:val="00993061"/>
    <w:rsid w:val="00993181"/>
    <w:rsid w:val="0099319E"/>
    <w:rsid w:val="0099322F"/>
    <w:rsid w:val="009932D5"/>
    <w:rsid w:val="0099340A"/>
    <w:rsid w:val="0099351F"/>
    <w:rsid w:val="00993664"/>
    <w:rsid w:val="009937B5"/>
    <w:rsid w:val="00993AFE"/>
    <w:rsid w:val="00993C43"/>
    <w:rsid w:val="00993C59"/>
    <w:rsid w:val="00993D35"/>
    <w:rsid w:val="00993D5D"/>
    <w:rsid w:val="00993E83"/>
    <w:rsid w:val="00993EEF"/>
    <w:rsid w:val="009941D5"/>
    <w:rsid w:val="0099429A"/>
    <w:rsid w:val="009942BA"/>
    <w:rsid w:val="009942D3"/>
    <w:rsid w:val="0099440F"/>
    <w:rsid w:val="00994564"/>
    <w:rsid w:val="00994640"/>
    <w:rsid w:val="009946D8"/>
    <w:rsid w:val="00994841"/>
    <w:rsid w:val="00994842"/>
    <w:rsid w:val="0099484E"/>
    <w:rsid w:val="00994A99"/>
    <w:rsid w:val="00994EB9"/>
    <w:rsid w:val="009951F9"/>
    <w:rsid w:val="009951FC"/>
    <w:rsid w:val="00995288"/>
    <w:rsid w:val="009952C2"/>
    <w:rsid w:val="009953E6"/>
    <w:rsid w:val="0099544B"/>
    <w:rsid w:val="00995487"/>
    <w:rsid w:val="0099578D"/>
    <w:rsid w:val="00995A9D"/>
    <w:rsid w:val="00995A9F"/>
    <w:rsid w:val="00995C69"/>
    <w:rsid w:val="00995ECB"/>
    <w:rsid w:val="00995EDC"/>
    <w:rsid w:val="00995EDE"/>
    <w:rsid w:val="0099602B"/>
    <w:rsid w:val="009962FC"/>
    <w:rsid w:val="00996609"/>
    <w:rsid w:val="0099664C"/>
    <w:rsid w:val="0099676A"/>
    <w:rsid w:val="00996D3D"/>
    <w:rsid w:val="00996DEE"/>
    <w:rsid w:val="0099703F"/>
    <w:rsid w:val="00997272"/>
    <w:rsid w:val="0099778D"/>
    <w:rsid w:val="009977B1"/>
    <w:rsid w:val="00997CB5"/>
    <w:rsid w:val="00997DC0"/>
    <w:rsid w:val="00997E55"/>
    <w:rsid w:val="00997FF2"/>
    <w:rsid w:val="009A000A"/>
    <w:rsid w:val="009A015D"/>
    <w:rsid w:val="009A01A3"/>
    <w:rsid w:val="009A03BA"/>
    <w:rsid w:val="009A0754"/>
    <w:rsid w:val="009A0765"/>
    <w:rsid w:val="009A0B49"/>
    <w:rsid w:val="009A0BA0"/>
    <w:rsid w:val="009A0DD2"/>
    <w:rsid w:val="009A1009"/>
    <w:rsid w:val="009A106F"/>
    <w:rsid w:val="009A112E"/>
    <w:rsid w:val="009A115C"/>
    <w:rsid w:val="009A13B2"/>
    <w:rsid w:val="009A13E9"/>
    <w:rsid w:val="009A13F2"/>
    <w:rsid w:val="009A152E"/>
    <w:rsid w:val="009A162A"/>
    <w:rsid w:val="009A1803"/>
    <w:rsid w:val="009A1804"/>
    <w:rsid w:val="009A18C2"/>
    <w:rsid w:val="009A1936"/>
    <w:rsid w:val="009A1A4D"/>
    <w:rsid w:val="009A1ADF"/>
    <w:rsid w:val="009A1C24"/>
    <w:rsid w:val="009A1CAB"/>
    <w:rsid w:val="009A1ECE"/>
    <w:rsid w:val="009A2164"/>
    <w:rsid w:val="009A218E"/>
    <w:rsid w:val="009A22E3"/>
    <w:rsid w:val="009A2497"/>
    <w:rsid w:val="009A2F35"/>
    <w:rsid w:val="009A3059"/>
    <w:rsid w:val="009A31D4"/>
    <w:rsid w:val="009A3212"/>
    <w:rsid w:val="009A32BB"/>
    <w:rsid w:val="009A3345"/>
    <w:rsid w:val="009A3416"/>
    <w:rsid w:val="009A3610"/>
    <w:rsid w:val="009A3692"/>
    <w:rsid w:val="009A370F"/>
    <w:rsid w:val="009A378D"/>
    <w:rsid w:val="009A3A2A"/>
    <w:rsid w:val="009A3A49"/>
    <w:rsid w:val="009A3DAC"/>
    <w:rsid w:val="009A3ED4"/>
    <w:rsid w:val="009A400B"/>
    <w:rsid w:val="009A40B1"/>
    <w:rsid w:val="009A4124"/>
    <w:rsid w:val="009A415E"/>
    <w:rsid w:val="009A4517"/>
    <w:rsid w:val="009A45E3"/>
    <w:rsid w:val="009A4696"/>
    <w:rsid w:val="009A492C"/>
    <w:rsid w:val="009A4B3B"/>
    <w:rsid w:val="009A4BA9"/>
    <w:rsid w:val="009A4C38"/>
    <w:rsid w:val="009A4DA3"/>
    <w:rsid w:val="009A4E78"/>
    <w:rsid w:val="009A4FBA"/>
    <w:rsid w:val="009A4FFB"/>
    <w:rsid w:val="009A50B3"/>
    <w:rsid w:val="009A50E8"/>
    <w:rsid w:val="009A50FB"/>
    <w:rsid w:val="009A523A"/>
    <w:rsid w:val="009A5374"/>
    <w:rsid w:val="009A53EE"/>
    <w:rsid w:val="009A5879"/>
    <w:rsid w:val="009A5B02"/>
    <w:rsid w:val="009A5B16"/>
    <w:rsid w:val="009A5F33"/>
    <w:rsid w:val="009A606F"/>
    <w:rsid w:val="009A61C8"/>
    <w:rsid w:val="009A62F1"/>
    <w:rsid w:val="009A6320"/>
    <w:rsid w:val="009A6405"/>
    <w:rsid w:val="009A6454"/>
    <w:rsid w:val="009A64F7"/>
    <w:rsid w:val="009A661B"/>
    <w:rsid w:val="009A665A"/>
    <w:rsid w:val="009A6683"/>
    <w:rsid w:val="009A674D"/>
    <w:rsid w:val="009A6A25"/>
    <w:rsid w:val="009A6A4D"/>
    <w:rsid w:val="009A6C39"/>
    <w:rsid w:val="009A71DE"/>
    <w:rsid w:val="009A756A"/>
    <w:rsid w:val="009A760A"/>
    <w:rsid w:val="009A768B"/>
    <w:rsid w:val="009A7696"/>
    <w:rsid w:val="009A7835"/>
    <w:rsid w:val="009A78B4"/>
    <w:rsid w:val="009A78C2"/>
    <w:rsid w:val="009A7948"/>
    <w:rsid w:val="009A7AF9"/>
    <w:rsid w:val="009A7B09"/>
    <w:rsid w:val="009A7E00"/>
    <w:rsid w:val="009A7EAB"/>
    <w:rsid w:val="009A7F1F"/>
    <w:rsid w:val="009A7F75"/>
    <w:rsid w:val="009B0013"/>
    <w:rsid w:val="009B089A"/>
    <w:rsid w:val="009B0E47"/>
    <w:rsid w:val="009B0E98"/>
    <w:rsid w:val="009B0F56"/>
    <w:rsid w:val="009B0FC0"/>
    <w:rsid w:val="009B0FCD"/>
    <w:rsid w:val="009B13AF"/>
    <w:rsid w:val="009B13BB"/>
    <w:rsid w:val="009B1442"/>
    <w:rsid w:val="009B16AE"/>
    <w:rsid w:val="009B1771"/>
    <w:rsid w:val="009B181D"/>
    <w:rsid w:val="009B194D"/>
    <w:rsid w:val="009B1B1B"/>
    <w:rsid w:val="009B1C8D"/>
    <w:rsid w:val="009B1E2E"/>
    <w:rsid w:val="009B1F8F"/>
    <w:rsid w:val="009B207A"/>
    <w:rsid w:val="009B210F"/>
    <w:rsid w:val="009B215E"/>
    <w:rsid w:val="009B218B"/>
    <w:rsid w:val="009B21C2"/>
    <w:rsid w:val="009B228A"/>
    <w:rsid w:val="009B24EA"/>
    <w:rsid w:val="009B2596"/>
    <w:rsid w:val="009B25C8"/>
    <w:rsid w:val="009B2713"/>
    <w:rsid w:val="009B2744"/>
    <w:rsid w:val="009B2760"/>
    <w:rsid w:val="009B2829"/>
    <w:rsid w:val="009B28E9"/>
    <w:rsid w:val="009B28F1"/>
    <w:rsid w:val="009B2AE4"/>
    <w:rsid w:val="009B2BAC"/>
    <w:rsid w:val="009B2D7D"/>
    <w:rsid w:val="009B3022"/>
    <w:rsid w:val="009B33BC"/>
    <w:rsid w:val="009B393A"/>
    <w:rsid w:val="009B3B8B"/>
    <w:rsid w:val="009B3F19"/>
    <w:rsid w:val="009B3F1A"/>
    <w:rsid w:val="009B3FC7"/>
    <w:rsid w:val="009B4025"/>
    <w:rsid w:val="009B4168"/>
    <w:rsid w:val="009B43CB"/>
    <w:rsid w:val="009B4470"/>
    <w:rsid w:val="009B44C3"/>
    <w:rsid w:val="009B454B"/>
    <w:rsid w:val="009B46C9"/>
    <w:rsid w:val="009B4854"/>
    <w:rsid w:val="009B4858"/>
    <w:rsid w:val="009B49E7"/>
    <w:rsid w:val="009B4B53"/>
    <w:rsid w:val="009B4C75"/>
    <w:rsid w:val="009B4F33"/>
    <w:rsid w:val="009B5000"/>
    <w:rsid w:val="009B50A6"/>
    <w:rsid w:val="009B50F9"/>
    <w:rsid w:val="009B531F"/>
    <w:rsid w:val="009B5344"/>
    <w:rsid w:val="009B53FC"/>
    <w:rsid w:val="009B592C"/>
    <w:rsid w:val="009B5B20"/>
    <w:rsid w:val="009B64E2"/>
    <w:rsid w:val="009B65E8"/>
    <w:rsid w:val="009B68E1"/>
    <w:rsid w:val="009B6A22"/>
    <w:rsid w:val="009B6B0F"/>
    <w:rsid w:val="009B6B80"/>
    <w:rsid w:val="009B6D64"/>
    <w:rsid w:val="009B6D87"/>
    <w:rsid w:val="009B6DE1"/>
    <w:rsid w:val="009B701C"/>
    <w:rsid w:val="009B7070"/>
    <w:rsid w:val="009B70C7"/>
    <w:rsid w:val="009B755B"/>
    <w:rsid w:val="009B7655"/>
    <w:rsid w:val="009B765E"/>
    <w:rsid w:val="009B784A"/>
    <w:rsid w:val="009B78A7"/>
    <w:rsid w:val="009B78F6"/>
    <w:rsid w:val="009B79EA"/>
    <w:rsid w:val="009B7CAF"/>
    <w:rsid w:val="009B7E08"/>
    <w:rsid w:val="009C0002"/>
    <w:rsid w:val="009C0099"/>
    <w:rsid w:val="009C0151"/>
    <w:rsid w:val="009C069D"/>
    <w:rsid w:val="009C0831"/>
    <w:rsid w:val="009C0A1B"/>
    <w:rsid w:val="009C0B25"/>
    <w:rsid w:val="009C0B61"/>
    <w:rsid w:val="009C0B67"/>
    <w:rsid w:val="009C0C80"/>
    <w:rsid w:val="009C0DA9"/>
    <w:rsid w:val="009C0F9D"/>
    <w:rsid w:val="009C0FC3"/>
    <w:rsid w:val="009C0FD9"/>
    <w:rsid w:val="009C1105"/>
    <w:rsid w:val="009C114E"/>
    <w:rsid w:val="009C138A"/>
    <w:rsid w:val="009C141D"/>
    <w:rsid w:val="009C16C4"/>
    <w:rsid w:val="009C1710"/>
    <w:rsid w:val="009C1821"/>
    <w:rsid w:val="009C18AB"/>
    <w:rsid w:val="009C1AEB"/>
    <w:rsid w:val="009C1BBC"/>
    <w:rsid w:val="009C1BC9"/>
    <w:rsid w:val="009C1C05"/>
    <w:rsid w:val="009C1C3C"/>
    <w:rsid w:val="009C1C5C"/>
    <w:rsid w:val="009C1C61"/>
    <w:rsid w:val="009C1E12"/>
    <w:rsid w:val="009C1E5D"/>
    <w:rsid w:val="009C2031"/>
    <w:rsid w:val="009C2269"/>
    <w:rsid w:val="009C229E"/>
    <w:rsid w:val="009C22FE"/>
    <w:rsid w:val="009C238E"/>
    <w:rsid w:val="009C2551"/>
    <w:rsid w:val="009C2B32"/>
    <w:rsid w:val="009C2B48"/>
    <w:rsid w:val="009C301B"/>
    <w:rsid w:val="009C3250"/>
    <w:rsid w:val="009C3776"/>
    <w:rsid w:val="009C390C"/>
    <w:rsid w:val="009C39FF"/>
    <w:rsid w:val="009C3E8C"/>
    <w:rsid w:val="009C3F0E"/>
    <w:rsid w:val="009C403D"/>
    <w:rsid w:val="009C406F"/>
    <w:rsid w:val="009C411B"/>
    <w:rsid w:val="009C4257"/>
    <w:rsid w:val="009C435B"/>
    <w:rsid w:val="009C461B"/>
    <w:rsid w:val="009C46A2"/>
    <w:rsid w:val="009C4734"/>
    <w:rsid w:val="009C4CB6"/>
    <w:rsid w:val="009C4D2A"/>
    <w:rsid w:val="009C4D46"/>
    <w:rsid w:val="009C4FC8"/>
    <w:rsid w:val="009C4FFA"/>
    <w:rsid w:val="009C516C"/>
    <w:rsid w:val="009C526C"/>
    <w:rsid w:val="009C53A7"/>
    <w:rsid w:val="009C53DB"/>
    <w:rsid w:val="009C5516"/>
    <w:rsid w:val="009C567E"/>
    <w:rsid w:val="009C58CC"/>
    <w:rsid w:val="009C58FB"/>
    <w:rsid w:val="009C5A52"/>
    <w:rsid w:val="009C5BFC"/>
    <w:rsid w:val="009C5C08"/>
    <w:rsid w:val="009C5C57"/>
    <w:rsid w:val="009C5CA6"/>
    <w:rsid w:val="009C5CD7"/>
    <w:rsid w:val="009C5D82"/>
    <w:rsid w:val="009C5E46"/>
    <w:rsid w:val="009C62F1"/>
    <w:rsid w:val="009C6463"/>
    <w:rsid w:val="009C64C4"/>
    <w:rsid w:val="009C68AD"/>
    <w:rsid w:val="009C6D0A"/>
    <w:rsid w:val="009C6DF9"/>
    <w:rsid w:val="009C6EB0"/>
    <w:rsid w:val="009C717B"/>
    <w:rsid w:val="009C727E"/>
    <w:rsid w:val="009C7349"/>
    <w:rsid w:val="009C745E"/>
    <w:rsid w:val="009C746B"/>
    <w:rsid w:val="009C7481"/>
    <w:rsid w:val="009C7652"/>
    <w:rsid w:val="009C76C4"/>
    <w:rsid w:val="009C77E4"/>
    <w:rsid w:val="009C7C12"/>
    <w:rsid w:val="009C7C84"/>
    <w:rsid w:val="009C7E5B"/>
    <w:rsid w:val="009C7FB5"/>
    <w:rsid w:val="009D02DD"/>
    <w:rsid w:val="009D03B8"/>
    <w:rsid w:val="009D045A"/>
    <w:rsid w:val="009D04E0"/>
    <w:rsid w:val="009D04FD"/>
    <w:rsid w:val="009D0571"/>
    <w:rsid w:val="009D059E"/>
    <w:rsid w:val="009D0693"/>
    <w:rsid w:val="009D08A8"/>
    <w:rsid w:val="009D0B7F"/>
    <w:rsid w:val="009D0C97"/>
    <w:rsid w:val="009D0C99"/>
    <w:rsid w:val="009D0CB7"/>
    <w:rsid w:val="009D0D8B"/>
    <w:rsid w:val="009D0FDE"/>
    <w:rsid w:val="009D1112"/>
    <w:rsid w:val="009D12A0"/>
    <w:rsid w:val="009D1459"/>
    <w:rsid w:val="009D14CF"/>
    <w:rsid w:val="009D164A"/>
    <w:rsid w:val="009D1961"/>
    <w:rsid w:val="009D1A1B"/>
    <w:rsid w:val="009D1BE3"/>
    <w:rsid w:val="009D223D"/>
    <w:rsid w:val="009D228B"/>
    <w:rsid w:val="009D28E2"/>
    <w:rsid w:val="009D2AF2"/>
    <w:rsid w:val="009D2B9B"/>
    <w:rsid w:val="009D2D80"/>
    <w:rsid w:val="009D2F9A"/>
    <w:rsid w:val="009D30DF"/>
    <w:rsid w:val="009D31D7"/>
    <w:rsid w:val="009D32C1"/>
    <w:rsid w:val="009D33FB"/>
    <w:rsid w:val="009D39C8"/>
    <w:rsid w:val="009D3F9C"/>
    <w:rsid w:val="009D3FB0"/>
    <w:rsid w:val="009D4269"/>
    <w:rsid w:val="009D4418"/>
    <w:rsid w:val="009D45BD"/>
    <w:rsid w:val="009D4756"/>
    <w:rsid w:val="009D4993"/>
    <w:rsid w:val="009D4AC0"/>
    <w:rsid w:val="009D4E86"/>
    <w:rsid w:val="009D4F5D"/>
    <w:rsid w:val="009D56AC"/>
    <w:rsid w:val="009D5712"/>
    <w:rsid w:val="009D57D8"/>
    <w:rsid w:val="009D58A1"/>
    <w:rsid w:val="009D5C61"/>
    <w:rsid w:val="009D5D8E"/>
    <w:rsid w:val="009D5F4B"/>
    <w:rsid w:val="009D625C"/>
    <w:rsid w:val="009D6758"/>
    <w:rsid w:val="009D6913"/>
    <w:rsid w:val="009D6B5E"/>
    <w:rsid w:val="009D7067"/>
    <w:rsid w:val="009D7454"/>
    <w:rsid w:val="009D773E"/>
    <w:rsid w:val="009D77F9"/>
    <w:rsid w:val="009D7939"/>
    <w:rsid w:val="009D7942"/>
    <w:rsid w:val="009D7AAA"/>
    <w:rsid w:val="009D7BBC"/>
    <w:rsid w:val="009D7CAA"/>
    <w:rsid w:val="009D7CF5"/>
    <w:rsid w:val="009D7E67"/>
    <w:rsid w:val="009E0212"/>
    <w:rsid w:val="009E06B7"/>
    <w:rsid w:val="009E0844"/>
    <w:rsid w:val="009E0AB3"/>
    <w:rsid w:val="009E0B2F"/>
    <w:rsid w:val="009E0B3F"/>
    <w:rsid w:val="009E0CB7"/>
    <w:rsid w:val="009E0E60"/>
    <w:rsid w:val="009E125F"/>
    <w:rsid w:val="009E130D"/>
    <w:rsid w:val="009E13DF"/>
    <w:rsid w:val="009E1460"/>
    <w:rsid w:val="009E1816"/>
    <w:rsid w:val="009E1AA4"/>
    <w:rsid w:val="009E1C21"/>
    <w:rsid w:val="009E1C39"/>
    <w:rsid w:val="009E1D13"/>
    <w:rsid w:val="009E1E9E"/>
    <w:rsid w:val="009E1F5E"/>
    <w:rsid w:val="009E1FD7"/>
    <w:rsid w:val="009E21AF"/>
    <w:rsid w:val="009E22AB"/>
    <w:rsid w:val="009E23EC"/>
    <w:rsid w:val="009E2479"/>
    <w:rsid w:val="009E2509"/>
    <w:rsid w:val="009E2642"/>
    <w:rsid w:val="009E27C8"/>
    <w:rsid w:val="009E2E28"/>
    <w:rsid w:val="009E2E9B"/>
    <w:rsid w:val="009E2F1A"/>
    <w:rsid w:val="009E2F2B"/>
    <w:rsid w:val="009E3074"/>
    <w:rsid w:val="009E30A8"/>
    <w:rsid w:val="009E35E2"/>
    <w:rsid w:val="009E3934"/>
    <w:rsid w:val="009E3AB4"/>
    <w:rsid w:val="009E3B50"/>
    <w:rsid w:val="009E3C3B"/>
    <w:rsid w:val="009E3E84"/>
    <w:rsid w:val="009E3EE8"/>
    <w:rsid w:val="009E3EF2"/>
    <w:rsid w:val="009E4023"/>
    <w:rsid w:val="009E40A5"/>
    <w:rsid w:val="009E4134"/>
    <w:rsid w:val="009E44AC"/>
    <w:rsid w:val="009E4686"/>
    <w:rsid w:val="009E4699"/>
    <w:rsid w:val="009E481B"/>
    <w:rsid w:val="009E484C"/>
    <w:rsid w:val="009E4A44"/>
    <w:rsid w:val="009E4B2D"/>
    <w:rsid w:val="009E4B63"/>
    <w:rsid w:val="009E4BB0"/>
    <w:rsid w:val="009E4BBC"/>
    <w:rsid w:val="009E4D3D"/>
    <w:rsid w:val="009E4D8C"/>
    <w:rsid w:val="009E4E4A"/>
    <w:rsid w:val="009E5052"/>
    <w:rsid w:val="009E5107"/>
    <w:rsid w:val="009E54B3"/>
    <w:rsid w:val="009E5574"/>
    <w:rsid w:val="009E55E6"/>
    <w:rsid w:val="009E56B5"/>
    <w:rsid w:val="009E5732"/>
    <w:rsid w:val="009E57C4"/>
    <w:rsid w:val="009E5A3D"/>
    <w:rsid w:val="009E5BAF"/>
    <w:rsid w:val="009E5E8D"/>
    <w:rsid w:val="009E5EBA"/>
    <w:rsid w:val="009E6233"/>
    <w:rsid w:val="009E6503"/>
    <w:rsid w:val="009E6522"/>
    <w:rsid w:val="009E680B"/>
    <w:rsid w:val="009E6C18"/>
    <w:rsid w:val="009E6C9C"/>
    <w:rsid w:val="009E6FD0"/>
    <w:rsid w:val="009E71F4"/>
    <w:rsid w:val="009E74FF"/>
    <w:rsid w:val="009E78F7"/>
    <w:rsid w:val="009E7AAD"/>
    <w:rsid w:val="009E7B15"/>
    <w:rsid w:val="009E7B99"/>
    <w:rsid w:val="009E7EBE"/>
    <w:rsid w:val="009E7EF4"/>
    <w:rsid w:val="009E7F25"/>
    <w:rsid w:val="009F0402"/>
    <w:rsid w:val="009F0505"/>
    <w:rsid w:val="009F0543"/>
    <w:rsid w:val="009F0556"/>
    <w:rsid w:val="009F06FC"/>
    <w:rsid w:val="009F096E"/>
    <w:rsid w:val="009F09E6"/>
    <w:rsid w:val="009F0DE6"/>
    <w:rsid w:val="009F0E12"/>
    <w:rsid w:val="009F106C"/>
    <w:rsid w:val="009F10C4"/>
    <w:rsid w:val="009F12E3"/>
    <w:rsid w:val="009F1428"/>
    <w:rsid w:val="009F14EE"/>
    <w:rsid w:val="009F15B4"/>
    <w:rsid w:val="009F1706"/>
    <w:rsid w:val="009F193A"/>
    <w:rsid w:val="009F1C70"/>
    <w:rsid w:val="009F1CE5"/>
    <w:rsid w:val="009F1DB3"/>
    <w:rsid w:val="009F1F85"/>
    <w:rsid w:val="009F21A9"/>
    <w:rsid w:val="009F23EC"/>
    <w:rsid w:val="009F26A2"/>
    <w:rsid w:val="009F2744"/>
    <w:rsid w:val="009F285C"/>
    <w:rsid w:val="009F2902"/>
    <w:rsid w:val="009F2991"/>
    <w:rsid w:val="009F2B87"/>
    <w:rsid w:val="009F313A"/>
    <w:rsid w:val="009F3163"/>
    <w:rsid w:val="009F3194"/>
    <w:rsid w:val="009F368D"/>
    <w:rsid w:val="009F376A"/>
    <w:rsid w:val="009F3B4F"/>
    <w:rsid w:val="009F3B95"/>
    <w:rsid w:val="009F3E32"/>
    <w:rsid w:val="009F3E55"/>
    <w:rsid w:val="009F3FF2"/>
    <w:rsid w:val="009F42F3"/>
    <w:rsid w:val="009F437B"/>
    <w:rsid w:val="009F4728"/>
    <w:rsid w:val="009F4946"/>
    <w:rsid w:val="009F4A72"/>
    <w:rsid w:val="009F4E73"/>
    <w:rsid w:val="009F4F86"/>
    <w:rsid w:val="009F50D7"/>
    <w:rsid w:val="009F5367"/>
    <w:rsid w:val="009F536B"/>
    <w:rsid w:val="009F54AE"/>
    <w:rsid w:val="009F5562"/>
    <w:rsid w:val="009F56A7"/>
    <w:rsid w:val="009F5998"/>
    <w:rsid w:val="009F5A1A"/>
    <w:rsid w:val="009F5A6C"/>
    <w:rsid w:val="009F5A7A"/>
    <w:rsid w:val="009F5AD8"/>
    <w:rsid w:val="009F5B15"/>
    <w:rsid w:val="009F5D73"/>
    <w:rsid w:val="009F6185"/>
    <w:rsid w:val="009F660D"/>
    <w:rsid w:val="009F672F"/>
    <w:rsid w:val="009F685A"/>
    <w:rsid w:val="009F68D2"/>
    <w:rsid w:val="009F6939"/>
    <w:rsid w:val="009F6B13"/>
    <w:rsid w:val="009F6B4E"/>
    <w:rsid w:val="009F6BDA"/>
    <w:rsid w:val="009F6DFE"/>
    <w:rsid w:val="009F6EEA"/>
    <w:rsid w:val="009F7104"/>
    <w:rsid w:val="009F71A6"/>
    <w:rsid w:val="009F74B3"/>
    <w:rsid w:val="009F79C2"/>
    <w:rsid w:val="009F7A5E"/>
    <w:rsid w:val="009F7C15"/>
    <w:rsid w:val="009F7F9E"/>
    <w:rsid w:val="00A0013F"/>
    <w:rsid w:val="00A00310"/>
    <w:rsid w:val="00A003F1"/>
    <w:rsid w:val="00A004C8"/>
    <w:rsid w:val="00A005BF"/>
    <w:rsid w:val="00A005C4"/>
    <w:rsid w:val="00A009A6"/>
    <w:rsid w:val="00A00A0A"/>
    <w:rsid w:val="00A00B0C"/>
    <w:rsid w:val="00A00B63"/>
    <w:rsid w:val="00A00B6F"/>
    <w:rsid w:val="00A00E0F"/>
    <w:rsid w:val="00A00E9D"/>
    <w:rsid w:val="00A00F68"/>
    <w:rsid w:val="00A00F74"/>
    <w:rsid w:val="00A00FA4"/>
    <w:rsid w:val="00A01441"/>
    <w:rsid w:val="00A0151E"/>
    <w:rsid w:val="00A016B8"/>
    <w:rsid w:val="00A019D8"/>
    <w:rsid w:val="00A01A2B"/>
    <w:rsid w:val="00A01A8D"/>
    <w:rsid w:val="00A01E95"/>
    <w:rsid w:val="00A01F51"/>
    <w:rsid w:val="00A0216A"/>
    <w:rsid w:val="00A021E1"/>
    <w:rsid w:val="00A02214"/>
    <w:rsid w:val="00A024AD"/>
    <w:rsid w:val="00A0256C"/>
    <w:rsid w:val="00A0263A"/>
    <w:rsid w:val="00A0265D"/>
    <w:rsid w:val="00A02778"/>
    <w:rsid w:val="00A02A1D"/>
    <w:rsid w:val="00A03098"/>
    <w:rsid w:val="00A03148"/>
    <w:rsid w:val="00A0380A"/>
    <w:rsid w:val="00A038DA"/>
    <w:rsid w:val="00A03ABF"/>
    <w:rsid w:val="00A03B9E"/>
    <w:rsid w:val="00A03EC0"/>
    <w:rsid w:val="00A03F98"/>
    <w:rsid w:val="00A03FEA"/>
    <w:rsid w:val="00A0412E"/>
    <w:rsid w:val="00A041CA"/>
    <w:rsid w:val="00A04203"/>
    <w:rsid w:val="00A0437E"/>
    <w:rsid w:val="00A04382"/>
    <w:rsid w:val="00A044A5"/>
    <w:rsid w:val="00A044F6"/>
    <w:rsid w:val="00A048FA"/>
    <w:rsid w:val="00A0491E"/>
    <w:rsid w:val="00A04C80"/>
    <w:rsid w:val="00A04ED0"/>
    <w:rsid w:val="00A04EED"/>
    <w:rsid w:val="00A05038"/>
    <w:rsid w:val="00A0538E"/>
    <w:rsid w:val="00A05395"/>
    <w:rsid w:val="00A05650"/>
    <w:rsid w:val="00A058C3"/>
    <w:rsid w:val="00A05976"/>
    <w:rsid w:val="00A0597D"/>
    <w:rsid w:val="00A05A90"/>
    <w:rsid w:val="00A05C6C"/>
    <w:rsid w:val="00A05D0C"/>
    <w:rsid w:val="00A05E93"/>
    <w:rsid w:val="00A0606E"/>
    <w:rsid w:val="00A063B8"/>
    <w:rsid w:val="00A063E9"/>
    <w:rsid w:val="00A0695A"/>
    <w:rsid w:val="00A06A71"/>
    <w:rsid w:val="00A06BD0"/>
    <w:rsid w:val="00A06CEC"/>
    <w:rsid w:val="00A06D17"/>
    <w:rsid w:val="00A06FDF"/>
    <w:rsid w:val="00A0703D"/>
    <w:rsid w:val="00A07056"/>
    <w:rsid w:val="00A0734E"/>
    <w:rsid w:val="00A0752D"/>
    <w:rsid w:val="00A075AB"/>
    <w:rsid w:val="00A0761F"/>
    <w:rsid w:val="00A07641"/>
    <w:rsid w:val="00A07C46"/>
    <w:rsid w:val="00A07C50"/>
    <w:rsid w:val="00A07D6E"/>
    <w:rsid w:val="00A07E6A"/>
    <w:rsid w:val="00A07FF5"/>
    <w:rsid w:val="00A1014B"/>
    <w:rsid w:val="00A1028C"/>
    <w:rsid w:val="00A103F2"/>
    <w:rsid w:val="00A10525"/>
    <w:rsid w:val="00A10536"/>
    <w:rsid w:val="00A1054B"/>
    <w:rsid w:val="00A10564"/>
    <w:rsid w:val="00A10630"/>
    <w:rsid w:val="00A1074F"/>
    <w:rsid w:val="00A10AD1"/>
    <w:rsid w:val="00A10CFF"/>
    <w:rsid w:val="00A10F6C"/>
    <w:rsid w:val="00A10FF8"/>
    <w:rsid w:val="00A11048"/>
    <w:rsid w:val="00A11075"/>
    <w:rsid w:val="00A11323"/>
    <w:rsid w:val="00A1135C"/>
    <w:rsid w:val="00A11885"/>
    <w:rsid w:val="00A118A9"/>
    <w:rsid w:val="00A11B8C"/>
    <w:rsid w:val="00A11C65"/>
    <w:rsid w:val="00A11CF4"/>
    <w:rsid w:val="00A11D30"/>
    <w:rsid w:val="00A11DA4"/>
    <w:rsid w:val="00A12109"/>
    <w:rsid w:val="00A121D8"/>
    <w:rsid w:val="00A122C3"/>
    <w:rsid w:val="00A1245F"/>
    <w:rsid w:val="00A1266E"/>
    <w:rsid w:val="00A126D0"/>
    <w:rsid w:val="00A1294D"/>
    <w:rsid w:val="00A12A25"/>
    <w:rsid w:val="00A12AFC"/>
    <w:rsid w:val="00A12BD8"/>
    <w:rsid w:val="00A12D91"/>
    <w:rsid w:val="00A12F79"/>
    <w:rsid w:val="00A1303A"/>
    <w:rsid w:val="00A13186"/>
    <w:rsid w:val="00A131F1"/>
    <w:rsid w:val="00A132C3"/>
    <w:rsid w:val="00A13445"/>
    <w:rsid w:val="00A1348E"/>
    <w:rsid w:val="00A13524"/>
    <w:rsid w:val="00A13685"/>
    <w:rsid w:val="00A137FB"/>
    <w:rsid w:val="00A13BC2"/>
    <w:rsid w:val="00A13E93"/>
    <w:rsid w:val="00A13FAB"/>
    <w:rsid w:val="00A1406B"/>
    <w:rsid w:val="00A14239"/>
    <w:rsid w:val="00A14459"/>
    <w:rsid w:val="00A144D7"/>
    <w:rsid w:val="00A14735"/>
    <w:rsid w:val="00A149BC"/>
    <w:rsid w:val="00A14D15"/>
    <w:rsid w:val="00A14D62"/>
    <w:rsid w:val="00A14E26"/>
    <w:rsid w:val="00A15039"/>
    <w:rsid w:val="00A1535E"/>
    <w:rsid w:val="00A15440"/>
    <w:rsid w:val="00A15566"/>
    <w:rsid w:val="00A155D3"/>
    <w:rsid w:val="00A15C2A"/>
    <w:rsid w:val="00A161E5"/>
    <w:rsid w:val="00A16354"/>
    <w:rsid w:val="00A1656E"/>
    <w:rsid w:val="00A166A0"/>
    <w:rsid w:val="00A166B7"/>
    <w:rsid w:val="00A168B2"/>
    <w:rsid w:val="00A168C2"/>
    <w:rsid w:val="00A16A38"/>
    <w:rsid w:val="00A16A42"/>
    <w:rsid w:val="00A16B1F"/>
    <w:rsid w:val="00A16D7D"/>
    <w:rsid w:val="00A16DBD"/>
    <w:rsid w:val="00A16E05"/>
    <w:rsid w:val="00A16EDD"/>
    <w:rsid w:val="00A16F34"/>
    <w:rsid w:val="00A16FF7"/>
    <w:rsid w:val="00A171F0"/>
    <w:rsid w:val="00A1723A"/>
    <w:rsid w:val="00A172AC"/>
    <w:rsid w:val="00A172D4"/>
    <w:rsid w:val="00A172E5"/>
    <w:rsid w:val="00A1758A"/>
    <w:rsid w:val="00A178BE"/>
    <w:rsid w:val="00A1793D"/>
    <w:rsid w:val="00A17C73"/>
    <w:rsid w:val="00A17CB4"/>
    <w:rsid w:val="00A17D90"/>
    <w:rsid w:val="00A17F59"/>
    <w:rsid w:val="00A17F75"/>
    <w:rsid w:val="00A2000D"/>
    <w:rsid w:val="00A201E9"/>
    <w:rsid w:val="00A202E7"/>
    <w:rsid w:val="00A203C6"/>
    <w:rsid w:val="00A2063A"/>
    <w:rsid w:val="00A2064F"/>
    <w:rsid w:val="00A206CC"/>
    <w:rsid w:val="00A207EB"/>
    <w:rsid w:val="00A208E4"/>
    <w:rsid w:val="00A20B57"/>
    <w:rsid w:val="00A20E25"/>
    <w:rsid w:val="00A20E58"/>
    <w:rsid w:val="00A20F43"/>
    <w:rsid w:val="00A20FFF"/>
    <w:rsid w:val="00A210EF"/>
    <w:rsid w:val="00A2110C"/>
    <w:rsid w:val="00A21295"/>
    <w:rsid w:val="00A2169C"/>
    <w:rsid w:val="00A21F79"/>
    <w:rsid w:val="00A22058"/>
    <w:rsid w:val="00A22294"/>
    <w:rsid w:val="00A2230A"/>
    <w:rsid w:val="00A22374"/>
    <w:rsid w:val="00A223F5"/>
    <w:rsid w:val="00A224BE"/>
    <w:rsid w:val="00A225BE"/>
    <w:rsid w:val="00A225CF"/>
    <w:rsid w:val="00A22810"/>
    <w:rsid w:val="00A228E9"/>
    <w:rsid w:val="00A228F3"/>
    <w:rsid w:val="00A228F5"/>
    <w:rsid w:val="00A22A9F"/>
    <w:rsid w:val="00A22BE3"/>
    <w:rsid w:val="00A22CAC"/>
    <w:rsid w:val="00A22DF8"/>
    <w:rsid w:val="00A22F7C"/>
    <w:rsid w:val="00A23003"/>
    <w:rsid w:val="00A230EB"/>
    <w:rsid w:val="00A23117"/>
    <w:rsid w:val="00A23711"/>
    <w:rsid w:val="00A23795"/>
    <w:rsid w:val="00A2394A"/>
    <w:rsid w:val="00A23FFF"/>
    <w:rsid w:val="00A24110"/>
    <w:rsid w:val="00A2414E"/>
    <w:rsid w:val="00A241E4"/>
    <w:rsid w:val="00A243B6"/>
    <w:rsid w:val="00A244DC"/>
    <w:rsid w:val="00A2489B"/>
    <w:rsid w:val="00A249A1"/>
    <w:rsid w:val="00A24B42"/>
    <w:rsid w:val="00A24C52"/>
    <w:rsid w:val="00A24D39"/>
    <w:rsid w:val="00A24E9E"/>
    <w:rsid w:val="00A24EEA"/>
    <w:rsid w:val="00A25000"/>
    <w:rsid w:val="00A2520F"/>
    <w:rsid w:val="00A2550E"/>
    <w:rsid w:val="00A2557D"/>
    <w:rsid w:val="00A255E7"/>
    <w:rsid w:val="00A25707"/>
    <w:rsid w:val="00A25B18"/>
    <w:rsid w:val="00A25C46"/>
    <w:rsid w:val="00A25D91"/>
    <w:rsid w:val="00A25DA4"/>
    <w:rsid w:val="00A26013"/>
    <w:rsid w:val="00A2609A"/>
    <w:rsid w:val="00A26508"/>
    <w:rsid w:val="00A265FE"/>
    <w:rsid w:val="00A26C66"/>
    <w:rsid w:val="00A26D6F"/>
    <w:rsid w:val="00A26DA5"/>
    <w:rsid w:val="00A26DF5"/>
    <w:rsid w:val="00A26EF5"/>
    <w:rsid w:val="00A27140"/>
    <w:rsid w:val="00A272CB"/>
    <w:rsid w:val="00A2741E"/>
    <w:rsid w:val="00A275AB"/>
    <w:rsid w:val="00A27696"/>
    <w:rsid w:val="00A27A52"/>
    <w:rsid w:val="00A27A8B"/>
    <w:rsid w:val="00A27C43"/>
    <w:rsid w:val="00A27F9B"/>
    <w:rsid w:val="00A30111"/>
    <w:rsid w:val="00A3028E"/>
    <w:rsid w:val="00A302B8"/>
    <w:rsid w:val="00A3034E"/>
    <w:rsid w:val="00A3098F"/>
    <w:rsid w:val="00A30A5D"/>
    <w:rsid w:val="00A30A91"/>
    <w:rsid w:val="00A3105E"/>
    <w:rsid w:val="00A3128B"/>
    <w:rsid w:val="00A3153D"/>
    <w:rsid w:val="00A316E7"/>
    <w:rsid w:val="00A31B46"/>
    <w:rsid w:val="00A31BA7"/>
    <w:rsid w:val="00A31C1C"/>
    <w:rsid w:val="00A31C5D"/>
    <w:rsid w:val="00A31C72"/>
    <w:rsid w:val="00A31D96"/>
    <w:rsid w:val="00A3243F"/>
    <w:rsid w:val="00A325AD"/>
    <w:rsid w:val="00A327F5"/>
    <w:rsid w:val="00A32D07"/>
    <w:rsid w:val="00A32D27"/>
    <w:rsid w:val="00A32DD6"/>
    <w:rsid w:val="00A3311C"/>
    <w:rsid w:val="00A33242"/>
    <w:rsid w:val="00A332D4"/>
    <w:rsid w:val="00A33900"/>
    <w:rsid w:val="00A339F7"/>
    <w:rsid w:val="00A33B4F"/>
    <w:rsid w:val="00A33C09"/>
    <w:rsid w:val="00A33DB5"/>
    <w:rsid w:val="00A33DC1"/>
    <w:rsid w:val="00A33F73"/>
    <w:rsid w:val="00A33FCE"/>
    <w:rsid w:val="00A34001"/>
    <w:rsid w:val="00A34039"/>
    <w:rsid w:val="00A34125"/>
    <w:rsid w:val="00A3421D"/>
    <w:rsid w:val="00A3432B"/>
    <w:rsid w:val="00A34424"/>
    <w:rsid w:val="00A3462C"/>
    <w:rsid w:val="00A34C0A"/>
    <w:rsid w:val="00A34C0F"/>
    <w:rsid w:val="00A34DEF"/>
    <w:rsid w:val="00A34EB2"/>
    <w:rsid w:val="00A35115"/>
    <w:rsid w:val="00A352BC"/>
    <w:rsid w:val="00A355C5"/>
    <w:rsid w:val="00A356E9"/>
    <w:rsid w:val="00A357AB"/>
    <w:rsid w:val="00A359E4"/>
    <w:rsid w:val="00A35B8A"/>
    <w:rsid w:val="00A35BFB"/>
    <w:rsid w:val="00A35D7F"/>
    <w:rsid w:val="00A35D89"/>
    <w:rsid w:val="00A35F50"/>
    <w:rsid w:val="00A35FAB"/>
    <w:rsid w:val="00A361C4"/>
    <w:rsid w:val="00A36566"/>
    <w:rsid w:val="00A36753"/>
    <w:rsid w:val="00A36A47"/>
    <w:rsid w:val="00A36AAB"/>
    <w:rsid w:val="00A36E97"/>
    <w:rsid w:val="00A37233"/>
    <w:rsid w:val="00A372C2"/>
    <w:rsid w:val="00A375E6"/>
    <w:rsid w:val="00A3780E"/>
    <w:rsid w:val="00A37844"/>
    <w:rsid w:val="00A37944"/>
    <w:rsid w:val="00A37D3D"/>
    <w:rsid w:val="00A37EE6"/>
    <w:rsid w:val="00A40004"/>
    <w:rsid w:val="00A40005"/>
    <w:rsid w:val="00A40099"/>
    <w:rsid w:val="00A401C8"/>
    <w:rsid w:val="00A40200"/>
    <w:rsid w:val="00A402F1"/>
    <w:rsid w:val="00A403B3"/>
    <w:rsid w:val="00A4055D"/>
    <w:rsid w:val="00A405A5"/>
    <w:rsid w:val="00A406AA"/>
    <w:rsid w:val="00A40AE0"/>
    <w:rsid w:val="00A40BE8"/>
    <w:rsid w:val="00A40D2F"/>
    <w:rsid w:val="00A40DB2"/>
    <w:rsid w:val="00A4122C"/>
    <w:rsid w:val="00A4135C"/>
    <w:rsid w:val="00A413B2"/>
    <w:rsid w:val="00A415BB"/>
    <w:rsid w:val="00A4160D"/>
    <w:rsid w:val="00A41649"/>
    <w:rsid w:val="00A4166A"/>
    <w:rsid w:val="00A41814"/>
    <w:rsid w:val="00A41898"/>
    <w:rsid w:val="00A41931"/>
    <w:rsid w:val="00A41D66"/>
    <w:rsid w:val="00A41D72"/>
    <w:rsid w:val="00A41E5C"/>
    <w:rsid w:val="00A42053"/>
    <w:rsid w:val="00A423D4"/>
    <w:rsid w:val="00A42438"/>
    <w:rsid w:val="00A42458"/>
    <w:rsid w:val="00A425E9"/>
    <w:rsid w:val="00A42683"/>
    <w:rsid w:val="00A42716"/>
    <w:rsid w:val="00A4274F"/>
    <w:rsid w:val="00A427F0"/>
    <w:rsid w:val="00A4288C"/>
    <w:rsid w:val="00A428D6"/>
    <w:rsid w:val="00A42ACA"/>
    <w:rsid w:val="00A42B82"/>
    <w:rsid w:val="00A42C84"/>
    <w:rsid w:val="00A42D59"/>
    <w:rsid w:val="00A42E18"/>
    <w:rsid w:val="00A42EB2"/>
    <w:rsid w:val="00A42F38"/>
    <w:rsid w:val="00A43049"/>
    <w:rsid w:val="00A43661"/>
    <w:rsid w:val="00A436C6"/>
    <w:rsid w:val="00A4373F"/>
    <w:rsid w:val="00A437A6"/>
    <w:rsid w:val="00A4390D"/>
    <w:rsid w:val="00A43A93"/>
    <w:rsid w:val="00A43AA8"/>
    <w:rsid w:val="00A43C02"/>
    <w:rsid w:val="00A43C20"/>
    <w:rsid w:val="00A43CD1"/>
    <w:rsid w:val="00A43EFB"/>
    <w:rsid w:val="00A44032"/>
    <w:rsid w:val="00A441D0"/>
    <w:rsid w:val="00A44329"/>
    <w:rsid w:val="00A4439D"/>
    <w:rsid w:val="00A4442D"/>
    <w:rsid w:val="00A444A9"/>
    <w:rsid w:val="00A4458B"/>
    <w:rsid w:val="00A44706"/>
    <w:rsid w:val="00A447F4"/>
    <w:rsid w:val="00A44B3B"/>
    <w:rsid w:val="00A44D43"/>
    <w:rsid w:val="00A44ECA"/>
    <w:rsid w:val="00A44FCB"/>
    <w:rsid w:val="00A4500D"/>
    <w:rsid w:val="00A450B5"/>
    <w:rsid w:val="00A450CA"/>
    <w:rsid w:val="00A45318"/>
    <w:rsid w:val="00A45350"/>
    <w:rsid w:val="00A455C4"/>
    <w:rsid w:val="00A4562B"/>
    <w:rsid w:val="00A45845"/>
    <w:rsid w:val="00A45E83"/>
    <w:rsid w:val="00A460EA"/>
    <w:rsid w:val="00A46207"/>
    <w:rsid w:val="00A46279"/>
    <w:rsid w:val="00A46359"/>
    <w:rsid w:val="00A46489"/>
    <w:rsid w:val="00A465B0"/>
    <w:rsid w:val="00A46778"/>
    <w:rsid w:val="00A46AEB"/>
    <w:rsid w:val="00A46B70"/>
    <w:rsid w:val="00A46E51"/>
    <w:rsid w:val="00A47287"/>
    <w:rsid w:val="00A47299"/>
    <w:rsid w:val="00A472A9"/>
    <w:rsid w:val="00A475BA"/>
    <w:rsid w:val="00A4776E"/>
    <w:rsid w:val="00A47AB2"/>
    <w:rsid w:val="00A47EA0"/>
    <w:rsid w:val="00A50194"/>
    <w:rsid w:val="00A502DA"/>
    <w:rsid w:val="00A50373"/>
    <w:rsid w:val="00A5046A"/>
    <w:rsid w:val="00A506AF"/>
    <w:rsid w:val="00A506C0"/>
    <w:rsid w:val="00A50888"/>
    <w:rsid w:val="00A509C1"/>
    <w:rsid w:val="00A509C9"/>
    <w:rsid w:val="00A50BAE"/>
    <w:rsid w:val="00A50CBA"/>
    <w:rsid w:val="00A50D07"/>
    <w:rsid w:val="00A50DA6"/>
    <w:rsid w:val="00A513F1"/>
    <w:rsid w:val="00A51652"/>
    <w:rsid w:val="00A51738"/>
    <w:rsid w:val="00A51957"/>
    <w:rsid w:val="00A51982"/>
    <w:rsid w:val="00A519E6"/>
    <w:rsid w:val="00A51EA7"/>
    <w:rsid w:val="00A52041"/>
    <w:rsid w:val="00A52359"/>
    <w:rsid w:val="00A523A7"/>
    <w:rsid w:val="00A524A6"/>
    <w:rsid w:val="00A52515"/>
    <w:rsid w:val="00A527D1"/>
    <w:rsid w:val="00A5284D"/>
    <w:rsid w:val="00A52BA8"/>
    <w:rsid w:val="00A52C22"/>
    <w:rsid w:val="00A52D8D"/>
    <w:rsid w:val="00A52D9E"/>
    <w:rsid w:val="00A52DE1"/>
    <w:rsid w:val="00A53052"/>
    <w:rsid w:val="00A5311F"/>
    <w:rsid w:val="00A53255"/>
    <w:rsid w:val="00A533BC"/>
    <w:rsid w:val="00A5356F"/>
    <w:rsid w:val="00A536A9"/>
    <w:rsid w:val="00A537C9"/>
    <w:rsid w:val="00A53A5B"/>
    <w:rsid w:val="00A53B94"/>
    <w:rsid w:val="00A53E0C"/>
    <w:rsid w:val="00A53ED2"/>
    <w:rsid w:val="00A53F20"/>
    <w:rsid w:val="00A54282"/>
    <w:rsid w:val="00A54575"/>
    <w:rsid w:val="00A546CB"/>
    <w:rsid w:val="00A54719"/>
    <w:rsid w:val="00A54C03"/>
    <w:rsid w:val="00A54C7E"/>
    <w:rsid w:val="00A54D9E"/>
    <w:rsid w:val="00A550D1"/>
    <w:rsid w:val="00A553C3"/>
    <w:rsid w:val="00A55777"/>
    <w:rsid w:val="00A55875"/>
    <w:rsid w:val="00A55933"/>
    <w:rsid w:val="00A55B5C"/>
    <w:rsid w:val="00A55C50"/>
    <w:rsid w:val="00A55D94"/>
    <w:rsid w:val="00A55DD1"/>
    <w:rsid w:val="00A5605C"/>
    <w:rsid w:val="00A562E4"/>
    <w:rsid w:val="00A5654B"/>
    <w:rsid w:val="00A56847"/>
    <w:rsid w:val="00A568A7"/>
    <w:rsid w:val="00A56CF7"/>
    <w:rsid w:val="00A56D1D"/>
    <w:rsid w:val="00A56F5D"/>
    <w:rsid w:val="00A570E3"/>
    <w:rsid w:val="00A57200"/>
    <w:rsid w:val="00A5740B"/>
    <w:rsid w:val="00A57452"/>
    <w:rsid w:val="00A576AD"/>
    <w:rsid w:val="00A57A77"/>
    <w:rsid w:val="00A57BEE"/>
    <w:rsid w:val="00A57C0F"/>
    <w:rsid w:val="00A57C49"/>
    <w:rsid w:val="00A57CF0"/>
    <w:rsid w:val="00A601DA"/>
    <w:rsid w:val="00A60200"/>
    <w:rsid w:val="00A60246"/>
    <w:rsid w:val="00A602A3"/>
    <w:rsid w:val="00A602BF"/>
    <w:rsid w:val="00A602F5"/>
    <w:rsid w:val="00A60397"/>
    <w:rsid w:val="00A60576"/>
    <w:rsid w:val="00A609CD"/>
    <w:rsid w:val="00A60B96"/>
    <w:rsid w:val="00A60BE3"/>
    <w:rsid w:val="00A60CEF"/>
    <w:rsid w:val="00A60FB1"/>
    <w:rsid w:val="00A60FF6"/>
    <w:rsid w:val="00A61031"/>
    <w:rsid w:val="00A61092"/>
    <w:rsid w:val="00A6133A"/>
    <w:rsid w:val="00A61432"/>
    <w:rsid w:val="00A61949"/>
    <w:rsid w:val="00A6197C"/>
    <w:rsid w:val="00A619B0"/>
    <w:rsid w:val="00A61A61"/>
    <w:rsid w:val="00A61A68"/>
    <w:rsid w:val="00A61E39"/>
    <w:rsid w:val="00A61EFD"/>
    <w:rsid w:val="00A62026"/>
    <w:rsid w:val="00A622A0"/>
    <w:rsid w:val="00A625D7"/>
    <w:rsid w:val="00A627EC"/>
    <w:rsid w:val="00A62812"/>
    <w:rsid w:val="00A629B2"/>
    <w:rsid w:val="00A629EE"/>
    <w:rsid w:val="00A62C7E"/>
    <w:rsid w:val="00A62CA7"/>
    <w:rsid w:val="00A62DB2"/>
    <w:rsid w:val="00A62DE4"/>
    <w:rsid w:val="00A62DEC"/>
    <w:rsid w:val="00A62FD9"/>
    <w:rsid w:val="00A6301A"/>
    <w:rsid w:val="00A6301E"/>
    <w:rsid w:val="00A631AB"/>
    <w:rsid w:val="00A6330F"/>
    <w:rsid w:val="00A63497"/>
    <w:rsid w:val="00A63765"/>
    <w:rsid w:val="00A6383A"/>
    <w:rsid w:val="00A63B38"/>
    <w:rsid w:val="00A63CA6"/>
    <w:rsid w:val="00A63D11"/>
    <w:rsid w:val="00A63EE9"/>
    <w:rsid w:val="00A64755"/>
    <w:rsid w:val="00A64787"/>
    <w:rsid w:val="00A647C2"/>
    <w:rsid w:val="00A647E7"/>
    <w:rsid w:val="00A64A72"/>
    <w:rsid w:val="00A64B1A"/>
    <w:rsid w:val="00A64B9E"/>
    <w:rsid w:val="00A64D76"/>
    <w:rsid w:val="00A64F33"/>
    <w:rsid w:val="00A6502B"/>
    <w:rsid w:val="00A6521D"/>
    <w:rsid w:val="00A652D5"/>
    <w:rsid w:val="00A652F2"/>
    <w:rsid w:val="00A6548E"/>
    <w:rsid w:val="00A65543"/>
    <w:rsid w:val="00A6554C"/>
    <w:rsid w:val="00A655E6"/>
    <w:rsid w:val="00A658C4"/>
    <w:rsid w:val="00A658C5"/>
    <w:rsid w:val="00A65B18"/>
    <w:rsid w:val="00A65C52"/>
    <w:rsid w:val="00A661E1"/>
    <w:rsid w:val="00A66648"/>
    <w:rsid w:val="00A668AF"/>
    <w:rsid w:val="00A668BD"/>
    <w:rsid w:val="00A66994"/>
    <w:rsid w:val="00A66A9E"/>
    <w:rsid w:val="00A66D20"/>
    <w:rsid w:val="00A66D5F"/>
    <w:rsid w:val="00A66DAB"/>
    <w:rsid w:val="00A670E1"/>
    <w:rsid w:val="00A673E6"/>
    <w:rsid w:val="00A67427"/>
    <w:rsid w:val="00A67453"/>
    <w:rsid w:val="00A676F7"/>
    <w:rsid w:val="00A678A5"/>
    <w:rsid w:val="00A6790B"/>
    <w:rsid w:val="00A67FF1"/>
    <w:rsid w:val="00A704B9"/>
    <w:rsid w:val="00A707AA"/>
    <w:rsid w:val="00A709D4"/>
    <w:rsid w:val="00A70A2C"/>
    <w:rsid w:val="00A70C14"/>
    <w:rsid w:val="00A70E60"/>
    <w:rsid w:val="00A70F53"/>
    <w:rsid w:val="00A710BC"/>
    <w:rsid w:val="00A710F1"/>
    <w:rsid w:val="00A710FD"/>
    <w:rsid w:val="00A711CA"/>
    <w:rsid w:val="00A711EE"/>
    <w:rsid w:val="00A711FC"/>
    <w:rsid w:val="00A713A5"/>
    <w:rsid w:val="00A713AF"/>
    <w:rsid w:val="00A714C7"/>
    <w:rsid w:val="00A718C4"/>
    <w:rsid w:val="00A71A6F"/>
    <w:rsid w:val="00A71A96"/>
    <w:rsid w:val="00A71C3B"/>
    <w:rsid w:val="00A71DF5"/>
    <w:rsid w:val="00A71DFA"/>
    <w:rsid w:val="00A71EAF"/>
    <w:rsid w:val="00A720DB"/>
    <w:rsid w:val="00A72148"/>
    <w:rsid w:val="00A72204"/>
    <w:rsid w:val="00A723E0"/>
    <w:rsid w:val="00A725E5"/>
    <w:rsid w:val="00A72641"/>
    <w:rsid w:val="00A726D1"/>
    <w:rsid w:val="00A728D4"/>
    <w:rsid w:val="00A72D4F"/>
    <w:rsid w:val="00A72DB5"/>
    <w:rsid w:val="00A72F5B"/>
    <w:rsid w:val="00A7300B"/>
    <w:rsid w:val="00A7326F"/>
    <w:rsid w:val="00A732EC"/>
    <w:rsid w:val="00A73381"/>
    <w:rsid w:val="00A7343B"/>
    <w:rsid w:val="00A73795"/>
    <w:rsid w:val="00A739B5"/>
    <w:rsid w:val="00A73DAB"/>
    <w:rsid w:val="00A73DF3"/>
    <w:rsid w:val="00A73FDE"/>
    <w:rsid w:val="00A743E4"/>
    <w:rsid w:val="00A744B6"/>
    <w:rsid w:val="00A746F9"/>
    <w:rsid w:val="00A7476A"/>
    <w:rsid w:val="00A747AD"/>
    <w:rsid w:val="00A74A6A"/>
    <w:rsid w:val="00A74AB9"/>
    <w:rsid w:val="00A74BCA"/>
    <w:rsid w:val="00A74CB4"/>
    <w:rsid w:val="00A74E24"/>
    <w:rsid w:val="00A74E4B"/>
    <w:rsid w:val="00A7515C"/>
    <w:rsid w:val="00A751B6"/>
    <w:rsid w:val="00A751BE"/>
    <w:rsid w:val="00A75338"/>
    <w:rsid w:val="00A75DC6"/>
    <w:rsid w:val="00A75EA1"/>
    <w:rsid w:val="00A76185"/>
    <w:rsid w:val="00A76417"/>
    <w:rsid w:val="00A76454"/>
    <w:rsid w:val="00A76515"/>
    <w:rsid w:val="00A7653A"/>
    <w:rsid w:val="00A766FE"/>
    <w:rsid w:val="00A76AC1"/>
    <w:rsid w:val="00A76BF1"/>
    <w:rsid w:val="00A76D47"/>
    <w:rsid w:val="00A76E7E"/>
    <w:rsid w:val="00A76FD2"/>
    <w:rsid w:val="00A77046"/>
    <w:rsid w:val="00A77057"/>
    <w:rsid w:val="00A770C7"/>
    <w:rsid w:val="00A770F2"/>
    <w:rsid w:val="00A771B9"/>
    <w:rsid w:val="00A773DB"/>
    <w:rsid w:val="00A7746E"/>
    <w:rsid w:val="00A774D0"/>
    <w:rsid w:val="00A774D7"/>
    <w:rsid w:val="00A7756E"/>
    <w:rsid w:val="00A776A5"/>
    <w:rsid w:val="00A779F8"/>
    <w:rsid w:val="00A77BA7"/>
    <w:rsid w:val="00A77F5D"/>
    <w:rsid w:val="00A77F6E"/>
    <w:rsid w:val="00A80082"/>
    <w:rsid w:val="00A80255"/>
    <w:rsid w:val="00A804A1"/>
    <w:rsid w:val="00A804A3"/>
    <w:rsid w:val="00A80505"/>
    <w:rsid w:val="00A80551"/>
    <w:rsid w:val="00A8059D"/>
    <w:rsid w:val="00A805DD"/>
    <w:rsid w:val="00A80BD7"/>
    <w:rsid w:val="00A80E93"/>
    <w:rsid w:val="00A81089"/>
    <w:rsid w:val="00A81130"/>
    <w:rsid w:val="00A8126B"/>
    <w:rsid w:val="00A812ED"/>
    <w:rsid w:val="00A81590"/>
    <w:rsid w:val="00A81646"/>
    <w:rsid w:val="00A81753"/>
    <w:rsid w:val="00A81816"/>
    <w:rsid w:val="00A81D16"/>
    <w:rsid w:val="00A81F01"/>
    <w:rsid w:val="00A81F87"/>
    <w:rsid w:val="00A82261"/>
    <w:rsid w:val="00A8282F"/>
    <w:rsid w:val="00A82902"/>
    <w:rsid w:val="00A82A4A"/>
    <w:rsid w:val="00A82A9F"/>
    <w:rsid w:val="00A82ADF"/>
    <w:rsid w:val="00A82CF1"/>
    <w:rsid w:val="00A82E9E"/>
    <w:rsid w:val="00A82EB9"/>
    <w:rsid w:val="00A83090"/>
    <w:rsid w:val="00A8333A"/>
    <w:rsid w:val="00A83706"/>
    <w:rsid w:val="00A83766"/>
    <w:rsid w:val="00A8376E"/>
    <w:rsid w:val="00A8391B"/>
    <w:rsid w:val="00A83C00"/>
    <w:rsid w:val="00A83C67"/>
    <w:rsid w:val="00A83CA2"/>
    <w:rsid w:val="00A83CD9"/>
    <w:rsid w:val="00A83E56"/>
    <w:rsid w:val="00A83F6E"/>
    <w:rsid w:val="00A840D5"/>
    <w:rsid w:val="00A8417D"/>
    <w:rsid w:val="00A841B8"/>
    <w:rsid w:val="00A84351"/>
    <w:rsid w:val="00A8454E"/>
    <w:rsid w:val="00A84573"/>
    <w:rsid w:val="00A8461A"/>
    <w:rsid w:val="00A8462D"/>
    <w:rsid w:val="00A84B47"/>
    <w:rsid w:val="00A84C0A"/>
    <w:rsid w:val="00A84C82"/>
    <w:rsid w:val="00A84DE5"/>
    <w:rsid w:val="00A84F6B"/>
    <w:rsid w:val="00A8536B"/>
    <w:rsid w:val="00A853FC"/>
    <w:rsid w:val="00A85410"/>
    <w:rsid w:val="00A85655"/>
    <w:rsid w:val="00A85A0C"/>
    <w:rsid w:val="00A85B1F"/>
    <w:rsid w:val="00A85B69"/>
    <w:rsid w:val="00A85BC8"/>
    <w:rsid w:val="00A85BCA"/>
    <w:rsid w:val="00A8623F"/>
    <w:rsid w:val="00A8625E"/>
    <w:rsid w:val="00A86287"/>
    <w:rsid w:val="00A862C2"/>
    <w:rsid w:val="00A86355"/>
    <w:rsid w:val="00A8649D"/>
    <w:rsid w:val="00A86550"/>
    <w:rsid w:val="00A86609"/>
    <w:rsid w:val="00A86F74"/>
    <w:rsid w:val="00A8708C"/>
    <w:rsid w:val="00A870BF"/>
    <w:rsid w:val="00A871D0"/>
    <w:rsid w:val="00A873DF"/>
    <w:rsid w:val="00A8762D"/>
    <w:rsid w:val="00A876A1"/>
    <w:rsid w:val="00A876D8"/>
    <w:rsid w:val="00A8771D"/>
    <w:rsid w:val="00A87784"/>
    <w:rsid w:val="00A87C19"/>
    <w:rsid w:val="00A87C82"/>
    <w:rsid w:val="00A87CE9"/>
    <w:rsid w:val="00A87D26"/>
    <w:rsid w:val="00A87E19"/>
    <w:rsid w:val="00A901B3"/>
    <w:rsid w:val="00A9029B"/>
    <w:rsid w:val="00A90325"/>
    <w:rsid w:val="00A90330"/>
    <w:rsid w:val="00A903A5"/>
    <w:rsid w:val="00A9057E"/>
    <w:rsid w:val="00A90910"/>
    <w:rsid w:val="00A90A14"/>
    <w:rsid w:val="00A90BD0"/>
    <w:rsid w:val="00A90E46"/>
    <w:rsid w:val="00A91045"/>
    <w:rsid w:val="00A910FE"/>
    <w:rsid w:val="00A9110B"/>
    <w:rsid w:val="00A9127D"/>
    <w:rsid w:val="00A91362"/>
    <w:rsid w:val="00A91425"/>
    <w:rsid w:val="00A914D5"/>
    <w:rsid w:val="00A91880"/>
    <w:rsid w:val="00A9197F"/>
    <w:rsid w:val="00A91B01"/>
    <w:rsid w:val="00A91B66"/>
    <w:rsid w:val="00A91CE2"/>
    <w:rsid w:val="00A92093"/>
    <w:rsid w:val="00A92513"/>
    <w:rsid w:val="00A9251B"/>
    <w:rsid w:val="00A92728"/>
    <w:rsid w:val="00A927BA"/>
    <w:rsid w:val="00A927FA"/>
    <w:rsid w:val="00A92A8D"/>
    <w:rsid w:val="00A92CE2"/>
    <w:rsid w:val="00A92D2F"/>
    <w:rsid w:val="00A92DF9"/>
    <w:rsid w:val="00A932F0"/>
    <w:rsid w:val="00A93581"/>
    <w:rsid w:val="00A93777"/>
    <w:rsid w:val="00A937D1"/>
    <w:rsid w:val="00A93830"/>
    <w:rsid w:val="00A938DA"/>
    <w:rsid w:val="00A93B44"/>
    <w:rsid w:val="00A93B91"/>
    <w:rsid w:val="00A93C5A"/>
    <w:rsid w:val="00A93EC9"/>
    <w:rsid w:val="00A945D0"/>
    <w:rsid w:val="00A94832"/>
    <w:rsid w:val="00A9498A"/>
    <w:rsid w:val="00A94CCF"/>
    <w:rsid w:val="00A94DFE"/>
    <w:rsid w:val="00A94F6D"/>
    <w:rsid w:val="00A95097"/>
    <w:rsid w:val="00A951C5"/>
    <w:rsid w:val="00A9532F"/>
    <w:rsid w:val="00A95662"/>
    <w:rsid w:val="00A95999"/>
    <w:rsid w:val="00A95DC8"/>
    <w:rsid w:val="00A95DF5"/>
    <w:rsid w:val="00A95F45"/>
    <w:rsid w:val="00A96466"/>
    <w:rsid w:val="00A966E0"/>
    <w:rsid w:val="00A967F0"/>
    <w:rsid w:val="00A96A3A"/>
    <w:rsid w:val="00A96B0C"/>
    <w:rsid w:val="00A96DDB"/>
    <w:rsid w:val="00A96EE3"/>
    <w:rsid w:val="00A9704C"/>
    <w:rsid w:val="00A970F1"/>
    <w:rsid w:val="00A971B2"/>
    <w:rsid w:val="00A974EB"/>
    <w:rsid w:val="00A9786B"/>
    <w:rsid w:val="00A978BE"/>
    <w:rsid w:val="00A97906"/>
    <w:rsid w:val="00A97A24"/>
    <w:rsid w:val="00A97A65"/>
    <w:rsid w:val="00A97C9F"/>
    <w:rsid w:val="00A97DD8"/>
    <w:rsid w:val="00A97E44"/>
    <w:rsid w:val="00A97F2A"/>
    <w:rsid w:val="00AA027C"/>
    <w:rsid w:val="00AA039B"/>
    <w:rsid w:val="00AA0621"/>
    <w:rsid w:val="00AA06F4"/>
    <w:rsid w:val="00AA0E9C"/>
    <w:rsid w:val="00AA0F73"/>
    <w:rsid w:val="00AA10E6"/>
    <w:rsid w:val="00AA11C6"/>
    <w:rsid w:val="00AA1267"/>
    <w:rsid w:val="00AA1309"/>
    <w:rsid w:val="00AA1510"/>
    <w:rsid w:val="00AA1532"/>
    <w:rsid w:val="00AA1A32"/>
    <w:rsid w:val="00AA1D59"/>
    <w:rsid w:val="00AA1E19"/>
    <w:rsid w:val="00AA1E3D"/>
    <w:rsid w:val="00AA207B"/>
    <w:rsid w:val="00AA2240"/>
    <w:rsid w:val="00AA25F8"/>
    <w:rsid w:val="00AA26DC"/>
    <w:rsid w:val="00AA2B32"/>
    <w:rsid w:val="00AA2B93"/>
    <w:rsid w:val="00AA2C20"/>
    <w:rsid w:val="00AA2D7C"/>
    <w:rsid w:val="00AA2DBB"/>
    <w:rsid w:val="00AA2EEC"/>
    <w:rsid w:val="00AA2FED"/>
    <w:rsid w:val="00AA372A"/>
    <w:rsid w:val="00AA3CB0"/>
    <w:rsid w:val="00AA3FFF"/>
    <w:rsid w:val="00AA40EC"/>
    <w:rsid w:val="00AA417F"/>
    <w:rsid w:val="00AA4297"/>
    <w:rsid w:val="00AA4330"/>
    <w:rsid w:val="00AA4488"/>
    <w:rsid w:val="00AA453E"/>
    <w:rsid w:val="00AA4875"/>
    <w:rsid w:val="00AA4AE6"/>
    <w:rsid w:val="00AA4B62"/>
    <w:rsid w:val="00AA4C8B"/>
    <w:rsid w:val="00AA4E5A"/>
    <w:rsid w:val="00AA52B6"/>
    <w:rsid w:val="00AA575B"/>
    <w:rsid w:val="00AA58F7"/>
    <w:rsid w:val="00AA5BB6"/>
    <w:rsid w:val="00AA5BD1"/>
    <w:rsid w:val="00AA5EAC"/>
    <w:rsid w:val="00AA6044"/>
    <w:rsid w:val="00AA605D"/>
    <w:rsid w:val="00AA614E"/>
    <w:rsid w:val="00AA61E0"/>
    <w:rsid w:val="00AA61EB"/>
    <w:rsid w:val="00AA624E"/>
    <w:rsid w:val="00AA62A0"/>
    <w:rsid w:val="00AA640F"/>
    <w:rsid w:val="00AA6499"/>
    <w:rsid w:val="00AA6731"/>
    <w:rsid w:val="00AA699F"/>
    <w:rsid w:val="00AA6B4E"/>
    <w:rsid w:val="00AA6C53"/>
    <w:rsid w:val="00AA6CF6"/>
    <w:rsid w:val="00AA6E16"/>
    <w:rsid w:val="00AA6E32"/>
    <w:rsid w:val="00AA6E6C"/>
    <w:rsid w:val="00AA6EB6"/>
    <w:rsid w:val="00AA73EA"/>
    <w:rsid w:val="00AA74ED"/>
    <w:rsid w:val="00AA7571"/>
    <w:rsid w:val="00AA7815"/>
    <w:rsid w:val="00AB0471"/>
    <w:rsid w:val="00AB0648"/>
    <w:rsid w:val="00AB0746"/>
    <w:rsid w:val="00AB08CC"/>
    <w:rsid w:val="00AB08D6"/>
    <w:rsid w:val="00AB0A27"/>
    <w:rsid w:val="00AB0B3D"/>
    <w:rsid w:val="00AB0C06"/>
    <w:rsid w:val="00AB0C3B"/>
    <w:rsid w:val="00AB0DE8"/>
    <w:rsid w:val="00AB0EAE"/>
    <w:rsid w:val="00AB0FB3"/>
    <w:rsid w:val="00AB1088"/>
    <w:rsid w:val="00AB141E"/>
    <w:rsid w:val="00AB16C5"/>
    <w:rsid w:val="00AB1800"/>
    <w:rsid w:val="00AB1801"/>
    <w:rsid w:val="00AB18F0"/>
    <w:rsid w:val="00AB19F3"/>
    <w:rsid w:val="00AB1A8B"/>
    <w:rsid w:val="00AB1BC5"/>
    <w:rsid w:val="00AB1BCE"/>
    <w:rsid w:val="00AB1BEF"/>
    <w:rsid w:val="00AB1D2B"/>
    <w:rsid w:val="00AB1FC2"/>
    <w:rsid w:val="00AB2208"/>
    <w:rsid w:val="00AB2517"/>
    <w:rsid w:val="00AB27CF"/>
    <w:rsid w:val="00AB27DE"/>
    <w:rsid w:val="00AB2831"/>
    <w:rsid w:val="00AB2B3D"/>
    <w:rsid w:val="00AB2D61"/>
    <w:rsid w:val="00AB2DCF"/>
    <w:rsid w:val="00AB3016"/>
    <w:rsid w:val="00AB3239"/>
    <w:rsid w:val="00AB33BE"/>
    <w:rsid w:val="00AB372B"/>
    <w:rsid w:val="00AB3A2D"/>
    <w:rsid w:val="00AB3A7A"/>
    <w:rsid w:val="00AB3B3F"/>
    <w:rsid w:val="00AB3D33"/>
    <w:rsid w:val="00AB411D"/>
    <w:rsid w:val="00AB439B"/>
    <w:rsid w:val="00AB46BE"/>
    <w:rsid w:val="00AB46D4"/>
    <w:rsid w:val="00AB46E4"/>
    <w:rsid w:val="00AB46FB"/>
    <w:rsid w:val="00AB47A6"/>
    <w:rsid w:val="00AB4814"/>
    <w:rsid w:val="00AB48ED"/>
    <w:rsid w:val="00AB4A1C"/>
    <w:rsid w:val="00AB4D94"/>
    <w:rsid w:val="00AB4E44"/>
    <w:rsid w:val="00AB4F93"/>
    <w:rsid w:val="00AB519F"/>
    <w:rsid w:val="00AB5450"/>
    <w:rsid w:val="00AB59BF"/>
    <w:rsid w:val="00AB5AF6"/>
    <w:rsid w:val="00AB5C8F"/>
    <w:rsid w:val="00AB5D43"/>
    <w:rsid w:val="00AB5F2D"/>
    <w:rsid w:val="00AB61EF"/>
    <w:rsid w:val="00AB640E"/>
    <w:rsid w:val="00AB651A"/>
    <w:rsid w:val="00AB68C9"/>
    <w:rsid w:val="00AB6942"/>
    <w:rsid w:val="00AB6BA6"/>
    <w:rsid w:val="00AB6BE6"/>
    <w:rsid w:val="00AB6D10"/>
    <w:rsid w:val="00AB6D5F"/>
    <w:rsid w:val="00AB6DA9"/>
    <w:rsid w:val="00AB6EBE"/>
    <w:rsid w:val="00AB732B"/>
    <w:rsid w:val="00AB763F"/>
    <w:rsid w:val="00AB78B3"/>
    <w:rsid w:val="00AB7CBA"/>
    <w:rsid w:val="00AB7EAA"/>
    <w:rsid w:val="00AB7FEA"/>
    <w:rsid w:val="00AC0043"/>
    <w:rsid w:val="00AC02A8"/>
    <w:rsid w:val="00AC032B"/>
    <w:rsid w:val="00AC04D6"/>
    <w:rsid w:val="00AC0777"/>
    <w:rsid w:val="00AC077A"/>
    <w:rsid w:val="00AC07E8"/>
    <w:rsid w:val="00AC07E9"/>
    <w:rsid w:val="00AC0937"/>
    <w:rsid w:val="00AC0ACD"/>
    <w:rsid w:val="00AC0B5C"/>
    <w:rsid w:val="00AC0B68"/>
    <w:rsid w:val="00AC1139"/>
    <w:rsid w:val="00AC1357"/>
    <w:rsid w:val="00AC14B3"/>
    <w:rsid w:val="00AC18F6"/>
    <w:rsid w:val="00AC1943"/>
    <w:rsid w:val="00AC1A42"/>
    <w:rsid w:val="00AC1EF8"/>
    <w:rsid w:val="00AC1F68"/>
    <w:rsid w:val="00AC2294"/>
    <w:rsid w:val="00AC23E4"/>
    <w:rsid w:val="00AC2446"/>
    <w:rsid w:val="00AC249A"/>
    <w:rsid w:val="00AC256C"/>
    <w:rsid w:val="00AC29DF"/>
    <w:rsid w:val="00AC2B6D"/>
    <w:rsid w:val="00AC2C9D"/>
    <w:rsid w:val="00AC2FE8"/>
    <w:rsid w:val="00AC3327"/>
    <w:rsid w:val="00AC33E8"/>
    <w:rsid w:val="00AC3613"/>
    <w:rsid w:val="00AC39D8"/>
    <w:rsid w:val="00AC3A2E"/>
    <w:rsid w:val="00AC3AA8"/>
    <w:rsid w:val="00AC3BFC"/>
    <w:rsid w:val="00AC3C42"/>
    <w:rsid w:val="00AC3DB3"/>
    <w:rsid w:val="00AC3E16"/>
    <w:rsid w:val="00AC4077"/>
    <w:rsid w:val="00AC413A"/>
    <w:rsid w:val="00AC4148"/>
    <w:rsid w:val="00AC4360"/>
    <w:rsid w:val="00AC445E"/>
    <w:rsid w:val="00AC4609"/>
    <w:rsid w:val="00AC4627"/>
    <w:rsid w:val="00AC4726"/>
    <w:rsid w:val="00AC4794"/>
    <w:rsid w:val="00AC4942"/>
    <w:rsid w:val="00AC4947"/>
    <w:rsid w:val="00AC4A1F"/>
    <w:rsid w:val="00AC4AEF"/>
    <w:rsid w:val="00AC4C5B"/>
    <w:rsid w:val="00AC4FED"/>
    <w:rsid w:val="00AC501A"/>
    <w:rsid w:val="00AC5175"/>
    <w:rsid w:val="00AC51F7"/>
    <w:rsid w:val="00AC5546"/>
    <w:rsid w:val="00AC55D9"/>
    <w:rsid w:val="00AC5A05"/>
    <w:rsid w:val="00AC5CFB"/>
    <w:rsid w:val="00AC5DEF"/>
    <w:rsid w:val="00AC5E60"/>
    <w:rsid w:val="00AC5EC5"/>
    <w:rsid w:val="00AC5ECE"/>
    <w:rsid w:val="00AC5ED4"/>
    <w:rsid w:val="00AC61A8"/>
    <w:rsid w:val="00AC626F"/>
    <w:rsid w:val="00AC6675"/>
    <w:rsid w:val="00AC6B2B"/>
    <w:rsid w:val="00AC6BBB"/>
    <w:rsid w:val="00AC6BE9"/>
    <w:rsid w:val="00AC6EF5"/>
    <w:rsid w:val="00AC7246"/>
    <w:rsid w:val="00AC727F"/>
    <w:rsid w:val="00AC7329"/>
    <w:rsid w:val="00AC7458"/>
    <w:rsid w:val="00AC7642"/>
    <w:rsid w:val="00AC7826"/>
    <w:rsid w:val="00AC7912"/>
    <w:rsid w:val="00AC791E"/>
    <w:rsid w:val="00AC79CF"/>
    <w:rsid w:val="00AC7ABE"/>
    <w:rsid w:val="00AC7BC8"/>
    <w:rsid w:val="00AC7CA6"/>
    <w:rsid w:val="00AC7E19"/>
    <w:rsid w:val="00AC7F35"/>
    <w:rsid w:val="00AC7FAD"/>
    <w:rsid w:val="00AD0052"/>
    <w:rsid w:val="00AD0067"/>
    <w:rsid w:val="00AD0150"/>
    <w:rsid w:val="00AD0158"/>
    <w:rsid w:val="00AD033D"/>
    <w:rsid w:val="00AD03F5"/>
    <w:rsid w:val="00AD05FC"/>
    <w:rsid w:val="00AD0778"/>
    <w:rsid w:val="00AD0865"/>
    <w:rsid w:val="00AD0981"/>
    <w:rsid w:val="00AD09B9"/>
    <w:rsid w:val="00AD0A1C"/>
    <w:rsid w:val="00AD0A20"/>
    <w:rsid w:val="00AD0D47"/>
    <w:rsid w:val="00AD0FA5"/>
    <w:rsid w:val="00AD107B"/>
    <w:rsid w:val="00AD1204"/>
    <w:rsid w:val="00AD1490"/>
    <w:rsid w:val="00AD15B2"/>
    <w:rsid w:val="00AD16E2"/>
    <w:rsid w:val="00AD18B0"/>
    <w:rsid w:val="00AD1C71"/>
    <w:rsid w:val="00AD1CB4"/>
    <w:rsid w:val="00AD1FBF"/>
    <w:rsid w:val="00AD1FFD"/>
    <w:rsid w:val="00AD2428"/>
    <w:rsid w:val="00AD265D"/>
    <w:rsid w:val="00AD28EE"/>
    <w:rsid w:val="00AD2A14"/>
    <w:rsid w:val="00AD2AC8"/>
    <w:rsid w:val="00AD3162"/>
    <w:rsid w:val="00AD3168"/>
    <w:rsid w:val="00AD3189"/>
    <w:rsid w:val="00AD327C"/>
    <w:rsid w:val="00AD331B"/>
    <w:rsid w:val="00AD35A0"/>
    <w:rsid w:val="00AD368F"/>
    <w:rsid w:val="00AD37F9"/>
    <w:rsid w:val="00AD393A"/>
    <w:rsid w:val="00AD3CDF"/>
    <w:rsid w:val="00AD3D73"/>
    <w:rsid w:val="00AD3D79"/>
    <w:rsid w:val="00AD3E90"/>
    <w:rsid w:val="00AD4075"/>
    <w:rsid w:val="00AD43AE"/>
    <w:rsid w:val="00AD44E4"/>
    <w:rsid w:val="00AD4588"/>
    <w:rsid w:val="00AD46D6"/>
    <w:rsid w:val="00AD4858"/>
    <w:rsid w:val="00AD48DC"/>
    <w:rsid w:val="00AD4CD3"/>
    <w:rsid w:val="00AD4DA9"/>
    <w:rsid w:val="00AD4E86"/>
    <w:rsid w:val="00AD504E"/>
    <w:rsid w:val="00AD51BB"/>
    <w:rsid w:val="00AD528A"/>
    <w:rsid w:val="00AD52F1"/>
    <w:rsid w:val="00AD5508"/>
    <w:rsid w:val="00AD558E"/>
    <w:rsid w:val="00AD5803"/>
    <w:rsid w:val="00AD5DA6"/>
    <w:rsid w:val="00AD5E63"/>
    <w:rsid w:val="00AD62C1"/>
    <w:rsid w:val="00AD62C3"/>
    <w:rsid w:val="00AD6363"/>
    <w:rsid w:val="00AD63B5"/>
    <w:rsid w:val="00AD656E"/>
    <w:rsid w:val="00AD6706"/>
    <w:rsid w:val="00AD684E"/>
    <w:rsid w:val="00AD68E0"/>
    <w:rsid w:val="00AD6A76"/>
    <w:rsid w:val="00AD6C71"/>
    <w:rsid w:val="00AD6D49"/>
    <w:rsid w:val="00AD6E75"/>
    <w:rsid w:val="00AD6F82"/>
    <w:rsid w:val="00AD7164"/>
    <w:rsid w:val="00AD71DE"/>
    <w:rsid w:val="00AD72C4"/>
    <w:rsid w:val="00AD735C"/>
    <w:rsid w:val="00AD745C"/>
    <w:rsid w:val="00AD756F"/>
    <w:rsid w:val="00AD7685"/>
    <w:rsid w:val="00AD772E"/>
    <w:rsid w:val="00AD7976"/>
    <w:rsid w:val="00AD7A6C"/>
    <w:rsid w:val="00AD7A8E"/>
    <w:rsid w:val="00AD7BEA"/>
    <w:rsid w:val="00AD7C49"/>
    <w:rsid w:val="00AD7CE2"/>
    <w:rsid w:val="00AD7F3D"/>
    <w:rsid w:val="00AD7F60"/>
    <w:rsid w:val="00AD7F7F"/>
    <w:rsid w:val="00AE0065"/>
    <w:rsid w:val="00AE00C1"/>
    <w:rsid w:val="00AE049C"/>
    <w:rsid w:val="00AE0CFE"/>
    <w:rsid w:val="00AE0F4F"/>
    <w:rsid w:val="00AE117C"/>
    <w:rsid w:val="00AE1182"/>
    <w:rsid w:val="00AE123C"/>
    <w:rsid w:val="00AE1308"/>
    <w:rsid w:val="00AE134F"/>
    <w:rsid w:val="00AE145B"/>
    <w:rsid w:val="00AE149D"/>
    <w:rsid w:val="00AE1586"/>
    <w:rsid w:val="00AE15A7"/>
    <w:rsid w:val="00AE18DA"/>
    <w:rsid w:val="00AE1918"/>
    <w:rsid w:val="00AE1E20"/>
    <w:rsid w:val="00AE20BE"/>
    <w:rsid w:val="00AE21B5"/>
    <w:rsid w:val="00AE22CB"/>
    <w:rsid w:val="00AE22E0"/>
    <w:rsid w:val="00AE248A"/>
    <w:rsid w:val="00AE26D6"/>
    <w:rsid w:val="00AE2CE6"/>
    <w:rsid w:val="00AE2DFE"/>
    <w:rsid w:val="00AE2F1C"/>
    <w:rsid w:val="00AE3028"/>
    <w:rsid w:val="00AE30F8"/>
    <w:rsid w:val="00AE32AB"/>
    <w:rsid w:val="00AE3314"/>
    <w:rsid w:val="00AE348A"/>
    <w:rsid w:val="00AE35FD"/>
    <w:rsid w:val="00AE3683"/>
    <w:rsid w:val="00AE36E0"/>
    <w:rsid w:val="00AE38D4"/>
    <w:rsid w:val="00AE3955"/>
    <w:rsid w:val="00AE3BE3"/>
    <w:rsid w:val="00AE3CA5"/>
    <w:rsid w:val="00AE3CC2"/>
    <w:rsid w:val="00AE3F12"/>
    <w:rsid w:val="00AE4241"/>
    <w:rsid w:val="00AE4362"/>
    <w:rsid w:val="00AE46FC"/>
    <w:rsid w:val="00AE4AFF"/>
    <w:rsid w:val="00AE4DDB"/>
    <w:rsid w:val="00AE512D"/>
    <w:rsid w:val="00AE5378"/>
    <w:rsid w:val="00AE54D2"/>
    <w:rsid w:val="00AE5518"/>
    <w:rsid w:val="00AE5555"/>
    <w:rsid w:val="00AE556B"/>
    <w:rsid w:val="00AE587A"/>
    <w:rsid w:val="00AE58B1"/>
    <w:rsid w:val="00AE5A0A"/>
    <w:rsid w:val="00AE5A0B"/>
    <w:rsid w:val="00AE5AFB"/>
    <w:rsid w:val="00AE5B7B"/>
    <w:rsid w:val="00AE5C73"/>
    <w:rsid w:val="00AE5D34"/>
    <w:rsid w:val="00AE5EA9"/>
    <w:rsid w:val="00AE5FE9"/>
    <w:rsid w:val="00AE6190"/>
    <w:rsid w:val="00AE6196"/>
    <w:rsid w:val="00AE623F"/>
    <w:rsid w:val="00AE6421"/>
    <w:rsid w:val="00AE6479"/>
    <w:rsid w:val="00AE68D8"/>
    <w:rsid w:val="00AE6BA4"/>
    <w:rsid w:val="00AE6C1C"/>
    <w:rsid w:val="00AE6C98"/>
    <w:rsid w:val="00AE6CE2"/>
    <w:rsid w:val="00AE6D9C"/>
    <w:rsid w:val="00AE6EC0"/>
    <w:rsid w:val="00AE6F62"/>
    <w:rsid w:val="00AE6FC0"/>
    <w:rsid w:val="00AE71A5"/>
    <w:rsid w:val="00AE71F5"/>
    <w:rsid w:val="00AE7223"/>
    <w:rsid w:val="00AE7332"/>
    <w:rsid w:val="00AE734E"/>
    <w:rsid w:val="00AE7447"/>
    <w:rsid w:val="00AE74F0"/>
    <w:rsid w:val="00AE75D3"/>
    <w:rsid w:val="00AE7922"/>
    <w:rsid w:val="00AE7985"/>
    <w:rsid w:val="00AE7F3C"/>
    <w:rsid w:val="00AE7FC8"/>
    <w:rsid w:val="00AF01CC"/>
    <w:rsid w:val="00AF01D0"/>
    <w:rsid w:val="00AF026B"/>
    <w:rsid w:val="00AF06F9"/>
    <w:rsid w:val="00AF0771"/>
    <w:rsid w:val="00AF0784"/>
    <w:rsid w:val="00AF0902"/>
    <w:rsid w:val="00AF0C2C"/>
    <w:rsid w:val="00AF0C51"/>
    <w:rsid w:val="00AF0FB1"/>
    <w:rsid w:val="00AF0FDC"/>
    <w:rsid w:val="00AF107E"/>
    <w:rsid w:val="00AF13C4"/>
    <w:rsid w:val="00AF14CA"/>
    <w:rsid w:val="00AF155C"/>
    <w:rsid w:val="00AF185E"/>
    <w:rsid w:val="00AF1890"/>
    <w:rsid w:val="00AF1937"/>
    <w:rsid w:val="00AF1A1C"/>
    <w:rsid w:val="00AF1B38"/>
    <w:rsid w:val="00AF1CAA"/>
    <w:rsid w:val="00AF1D45"/>
    <w:rsid w:val="00AF1DE7"/>
    <w:rsid w:val="00AF1E08"/>
    <w:rsid w:val="00AF1E9D"/>
    <w:rsid w:val="00AF20FA"/>
    <w:rsid w:val="00AF2251"/>
    <w:rsid w:val="00AF23D2"/>
    <w:rsid w:val="00AF23EA"/>
    <w:rsid w:val="00AF24CB"/>
    <w:rsid w:val="00AF2578"/>
    <w:rsid w:val="00AF26A3"/>
    <w:rsid w:val="00AF2735"/>
    <w:rsid w:val="00AF2909"/>
    <w:rsid w:val="00AF298D"/>
    <w:rsid w:val="00AF2CF6"/>
    <w:rsid w:val="00AF2E14"/>
    <w:rsid w:val="00AF2E70"/>
    <w:rsid w:val="00AF2F0E"/>
    <w:rsid w:val="00AF3006"/>
    <w:rsid w:val="00AF31CD"/>
    <w:rsid w:val="00AF32EC"/>
    <w:rsid w:val="00AF338C"/>
    <w:rsid w:val="00AF33F3"/>
    <w:rsid w:val="00AF351E"/>
    <w:rsid w:val="00AF3561"/>
    <w:rsid w:val="00AF3793"/>
    <w:rsid w:val="00AF39D4"/>
    <w:rsid w:val="00AF3D50"/>
    <w:rsid w:val="00AF3DE2"/>
    <w:rsid w:val="00AF3E42"/>
    <w:rsid w:val="00AF3FB2"/>
    <w:rsid w:val="00AF3FEF"/>
    <w:rsid w:val="00AF4026"/>
    <w:rsid w:val="00AF4135"/>
    <w:rsid w:val="00AF4228"/>
    <w:rsid w:val="00AF43D0"/>
    <w:rsid w:val="00AF4444"/>
    <w:rsid w:val="00AF449D"/>
    <w:rsid w:val="00AF458D"/>
    <w:rsid w:val="00AF45E9"/>
    <w:rsid w:val="00AF47D3"/>
    <w:rsid w:val="00AF47EC"/>
    <w:rsid w:val="00AF47ED"/>
    <w:rsid w:val="00AF4955"/>
    <w:rsid w:val="00AF49D1"/>
    <w:rsid w:val="00AF4BA9"/>
    <w:rsid w:val="00AF4CB6"/>
    <w:rsid w:val="00AF541D"/>
    <w:rsid w:val="00AF57F2"/>
    <w:rsid w:val="00AF5829"/>
    <w:rsid w:val="00AF58B7"/>
    <w:rsid w:val="00AF58C4"/>
    <w:rsid w:val="00AF59D2"/>
    <w:rsid w:val="00AF5B25"/>
    <w:rsid w:val="00AF5B44"/>
    <w:rsid w:val="00AF5BC2"/>
    <w:rsid w:val="00AF5C50"/>
    <w:rsid w:val="00AF5C8C"/>
    <w:rsid w:val="00AF5D0B"/>
    <w:rsid w:val="00AF5D26"/>
    <w:rsid w:val="00AF5E64"/>
    <w:rsid w:val="00AF6302"/>
    <w:rsid w:val="00AF636C"/>
    <w:rsid w:val="00AF63E0"/>
    <w:rsid w:val="00AF6436"/>
    <w:rsid w:val="00AF6853"/>
    <w:rsid w:val="00AF6AC9"/>
    <w:rsid w:val="00AF6B15"/>
    <w:rsid w:val="00AF6B73"/>
    <w:rsid w:val="00AF6B88"/>
    <w:rsid w:val="00AF6CB4"/>
    <w:rsid w:val="00AF6CDC"/>
    <w:rsid w:val="00AF6DC9"/>
    <w:rsid w:val="00AF6E46"/>
    <w:rsid w:val="00AF6E67"/>
    <w:rsid w:val="00AF6FB0"/>
    <w:rsid w:val="00AF701B"/>
    <w:rsid w:val="00AF71C4"/>
    <w:rsid w:val="00AF7541"/>
    <w:rsid w:val="00AF7566"/>
    <w:rsid w:val="00AF7657"/>
    <w:rsid w:val="00AF767C"/>
    <w:rsid w:val="00AF77A8"/>
    <w:rsid w:val="00AF77AE"/>
    <w:rsid w:val="00AF79DE"/>
    <w:rsid w:val="00AF7BBA"/>
    <w:rsid w:val="00AF7BD2"/>
    <w:rsid w:val="00AF7F83"/>
    <w:rsid w:val="00B003B3"/>
    <w:rsid w:val="00B0046B"/>
    <w:rsid w:val="00B008FE"/>
    <w:rsid w:val="00B00920"/>
    <w:rsid w:val="00B00985"/>
    <w:rsid w:val="00B009DC"/>
    <w:rsid w:val="00B00C77"/>
    <w:rsid w:val="00B00C91"/>
    <w:rsid w:val="00B00D3D"/>
    <w:rsid w:val="00B00F2B"/>
    <w:rsid w:val="00B0105D"/>
    <w:rsid w:val="00B0116E"/>
    <w:rsid w:val="00B01259"/>
    <w:rsid w:val="00B013CE"/>
    <w:rsid w:val="00B0149F"/>
    <w:rsid w:val="00B014A2"/>
    <w:rsid w:val="00B017A5"/>
    <w:rsid w:val="00B01826"/>
    <w:rsid w:val="00B01834"/>
    <w:rsid w:val="00B01924"/>
    <w:rsid w:val="00B019D1"/>
    <w:rsid w:val="00B01B05"/>
    <w:rsid w:val="00B01DCE"/>
    <w:rsid w:val="00B021BD"/>
    <w:rsid w:val="00B02318"/>
    <w:rsid w:val="00B02439"/>
    <w:rsid w:val="00B02449"/>
    <w:rsid w:val="00B024FC"/>
    <w:rsid w:val="00B026FB"/>
    <w:rsid w:val="00B02849"/>
    <w:rsid w:val="00B0284F"/>
    <w:rsid w:val="00B02C3E"/>
    <w:rsid w:val="00B02D2F"/>
    <w:rsid w:val="00B02E1A"/>
    <w:rsid w:val="00B02FE5"/>
    <w:rsid w:val="00B0358F"/>
    <w:rsid w:val="00B035A9"/>
    <w:rsid w:val="00B03656"/>
    <w:rsid w:val="00B036A7"/>
    <w:rsid w:val="00B036B5"/>
    <w:rsid w:val="00B037C8"/>
    <w:rsid w:val="00B040A4"/>
    <w:rsid w:val="00B04327"/>
    <w:rsid w:val="00B043F0"/>
    <w:rsid w:val="00B04451"/>
    <w:rsid w:val="00B04453"/>
    <w:rsid w:val="00B044C6"/>
    <w:rsid w:val="00B04672"/>
    <w:rsid w:val="00B0475F"/>
    <w:rsid w:val="00B049BF"/>
    <w:rsid w:val="00B04A5B"/>
    <w:rsid w:val="00B04B6C"/>
    <w:rsid w:val="00B04B92"/>
    <w:rsid w:val="00B04BD5"/>
    <w:rsid w:val="00B04BE2"/>
    <w:rsid w:val="00B04C03"/>
    <w:rsid w:val="00B04F7E"/>
    <w:rsid w:val="00B04FC6"/>
    <w:rsid w:val="00B0508B"/>
    <w:rsid w:val="00B05099"/>
    <w:rsid w:val="00B05112"/>
    <w:rsid w:val="00B05515"/>
    <w:rsid w:val="00B05634"/>
    <w:rsid w:val="00B058F2"/>
    <w:rsid w:val="00B05B07"/>
    <w:rsid w:val="00B05B3A"/>
    <w:rsid w:val="00B05CC4"/>
    <w:rsid w:val="00B05D79"/>
    <w:rsid w:val="00B05DFF"/>
    <w:rsid w:val="00B05F63"/>
    <w:rsid w:val="00B05FD0"/>
    <w:rsid w:val="00B0612E"/>
    <w:rsid w:val="00B061C6"/>
    <w:rsid w:val="00B0635B"/>
    <w:rsid w:val="00B0645D"/>
    <w:rsid w:val="00B0655B"/>
    <w:rsid w:val="00B066FB"/>
    <w:rsid w:val="00B068A5"/>
    <w:rsid w:val="00B0690A"/>
    <w:rsid w:val="00B069F6"/>
    <w:rsid w:val="00B06BD2"/>
    <w:rsid w:val="00B06BDB"/>
    <w:rsid w:val="00B06C80"/>
    <w:rsid w:val="00B06D80"/>
    <w:rsid w:val="00B06F17"/>
    <w:rsid w:val="00B071E1"/>
    <w:rsid w:val="00B07404"/>
    <w:rsid w:val="00B0750E"/>
    <w:rsid w:val="00B075A8"/>
    <w:rsid w:val="00B0777C"/>
    <w:rsid w:val="00B07890"/>
    <w:rsid w:val="00B078F2"/>
    <w:rsid w:val="00B0792C"/>
    <w:rsid w:val="00B07B89"/>
    <w:rsid w:val="00B07FAF"/>
    <w:rsid w:val="00B07FF8"/>
    <w:rsid w:val="00B10034"/>
    <w:rsid w:val="00B10087"/>
    <w:rsid w:val="00B1010A"/>
    <w:rsid w:val="00B10174"/>
    <w:rsid w:val="00B1025D"/>
    <w:rsid w:val="00B10457"/>
    <w:rsid w:val="00B10481"/>
    <w:rsid w:val="00B104D5"/>
    <w:rsid w:val="00B10A1C"/>
    <w:rsid w:val="00B10EF9"/>
    <w:rsid w:val="00B10FA5"/>
    <w:rsid w:val="00B11015"/>
    <w:rsid w:val="00B1126F"/>
    <w:rsid w:val="00B11659"/>
    <w:rsid w:val="00B11C4F"/>
    <w:rsid w:val="00B11C5E"/>
    <w:rsid w:val="00B11D16"/>
    <w:rsid w:val="00B1218E"/>
    <w:rsid w:val="00B12193"/>
    <w:rsid w:val="00B121AC"/>
    <w:rsid w:val="00B124BA"/>
    <w:rsid w:val="00B1288E"/>
    <w:rsid w:val="00B128A6"/>
    <w:rsid w:val="00B128A8"/>
    <w:rsid w:val="00B1291C"/>
    <w:rsid w:val="00B12962"/>
    <w:rsid w:val="00B12A73"/>
    <w:rsid w:val="00B12B79"/>
    <w:rsid w:val="00B12B98"/>
    <w:rsid w:val="00B12D0A"/>
    <w:rsid w:val="00B12DED"/>
    <w:rsid w:val="00B13011"/>
    <w:rsid w:val="00B1317B"/>
    <w:rsid w:val="00B131EA"/>
    <w:rsid w:val="00B1325F"/>
    <w:rsid w:val="00B13267"/>
    <w:rsid w:val="00B1342E"/>
    <w:rsid w:val="00B13A3D"/>
    <w:rsid w:val="00B13C2C"/>
    <w:rsid w:val="00B13E29"/>
    <w:rsid w:val="00B13E77"/>
    <w:rsid w:val="00B13FFF"/>
    <w:rsid w:val="00B14276"/>
    <w:rsid w:val="00B143FD"/>
    <w:rsid w:val="00B14679"/>
    <w:rsid w:val="00B1477C"/>
    <w:rsid w:val="00B14851"/>
    <w:rsid w:val="00B14B09"/>
    <w:rsid w:val="00B14B74"/>
    <w:rsid w:val="00B14BB7"/>
    <w:rsid w:val="00B14CA3"/>
    <w:rsid w:val="00B14CB0"/>
    <w:rsid w:val="00B15103"/>
    <w:rsid w:val="00B151C8"/>
    <w:rsid w:val="00B15272"/>
    <w:rsid w:val="00B1531E"/>
    <w:rsid w:val="00B15668"/>
    <w:rsid w:val="00B1579D"/>
    <w:rsid w:val="00B15835"/>
    <w:rsid w:val="00B15E11"/>
    <w:rsid w:val="00B15EF2"/>
    <w:rsid w:val="00B160C9"/>
    <w:rsid w:val="00B1616E"/>
    <w:rsid w:val="00B165E7"/>
    <w:rsid w:val="00B166FC"/>
    <w:rsid w:val="00B16B7A"/>
    <w:rsid w:val="00B16CB1"/>
    <w:rsid w:val="00B17130"/>
    <w:rsid w:val="00B17630"/>
    <w:rsid w:val="00B17685"/>
    <w:rsid w:val="00B17725"/>
    <w:rsid w:val="00B1795C"/>
    <w:rsid w:val="00B17E62"/>
    <w:rsid w:val="00B17E9F"/>
    <w:rsid w:val="00B203A9"/>
    <w:rsid w:val="00B203FC"/>
    <w:rsid w:val="00B20530"/>
    <w:rsid w:val="00B2086F"/>
    <w:rsid w:val="00B20FEF"/>
    <w:rsid w:val="00B2100C"/>
    <w:rsid w:val="00B21065"/>
    <w:rsid w:val="00B210A8"/>
    <w:rsid w:val="00B212BE"/>
    <w:rsid w:val="00B2131B"/>
    <w:rsid w:val="00B2192C"/>
    <w:rsid w:val="00B21982"/>
    <w:rsid w:val="00B219D1"/>
    <w:rsid w:val="00B21A18"/>
    <w:rsid w:val="00B21ABF"/>
    <w:rsid w:val="00B21AD1"/>
    <w:rsid w:val="00B21D48"/>
    <w:rsid w:val="00B21D91"/>
    <w:rsid w:val="00B21EB9"/>
    <w:rsid w:val="00B21FC0"/>
    <w:rsid w:val="00B221E6"/>
    <w:rsid w:val="00B2221D"/>
    <w:rsid w:val="00B22278"/>
    <w:rsid w:val="00B222B7"/>
    <w:rsid w:val="00B223CA"/>
    <w:rsid w:val="00B2241A"/>
    <w:rsid w:val="00B227A0"/>
    <w:rsid w:val="00B22A98"/>
    <w:rsid w:val="00B22D31"/>
    <w:rsid w:val="00B22FEF"/>
    <w:rsid w:val="00B23180"/>
    <w:rsid w:val="00B23557"/>
    <w:rsid w:val="00B235CA"/>
    <w:rsid w:val="00B2362D"/>
    <w:rsid w:val="00B236AC"/>
    <w:rsid w:val="00B23842"/>
    <w:rsid w:val="00B23B47"/>
    <w:rsid w:val="00B23DF3"/>
    <w:rsid w:val="00B240B1"/>
    <w:rsid w:val="00B242C5"/>
    <w:rsid w:val="00B24467"/>
    <w:rsid w:val="00B2458B"/>
    <w:rsid w:val="00B24782"/>
    <w:rsid w:val="00B247DB"/>
    <w:rsid w:val="00B24823"/>
    <w:rsid w:val="00B24880"/>
    <w:rsid w:val="00B2497F"/>
    <w:rsid w:val="00B24A96"/>
    <w:rsid w:val="00B24C58"/>
    <w:rsid w:val="00B25655"/>
    <w:rsid w:val="00B25708"/>
    <w:rsid w:val="00B25965"/>
    <w:rsid w:val="00B25A05"/>
    <w:rsid w:val="00B25DD1"/>
    <w:rsid w:val="00B25EBC"/>
    <w:rsid w:val="00B25EC2"/>
    <w:rsid w:val="00B25F18"/>
    <w:rsid w:val="00B25F74"/>
    <w:rsid w:val="00B261AB"/>
    <w:rsid w:val="00B261AC"/>
    <w:rsid w:val="00B26277"/>
    <w:rsid w:val="00B2648B"/>
    <w:rsid w:val="00B2656A"/>
    <w:rsid w:val="00B2665D"/>
    <w:rsid w:val="00B26876"/>
    <w:rsid w:val="00B2693B"/>
    <w:rsid w:val="00B26942"/>
    <w:rsid w:val="00B26962"/>
    <w:rsid w:val="00B269DB"/>
    <w:rsid w:val="00B26D17"/>
    <w:rsid w:val="00B26D3B"/>
    <w:rsid w:val="00B26E51"/>
    <w:rsid w:val="00B2725B"/>
    <w:rsid w:val="00B272D4"/>
    <w:rsid w:val="00B27352"/>
    <w:rsid w:val="00B2769B"/>
    <w:rsid w:val="00B27D1D"/>
    <w:rsid w:val="00B27D75"/>
    <w:rsid w:val="00B27DFC"/>
    <w:rsid w:val="00B27FF4"/>
    <w:rsid w:val="00B30027"/>
    <w:rsid w:val="00B30128"/>
    <w:rsid w:val="00B301F1"/>
    <w:rsid w:val="00B3023D"/>
    <w:rsid w:val="00B30290"/>
    <w:rsid w:val="00B30425"/>
    <w:rsid w:val="00B30514"/>
    <w:rsid w:val="00B309CD"/>
    <w:rsid w:val="00B30B1A"/>
    <w:rsid w:val="00B30E42"/>
    <w:rsid w:val="00B30E9F"/>
    <w:rsid w:val="00B30F68"/>
    <w:rsid w:val="00B3114E"/>
    <w:rsid w:val="00B3159E"/>
    <w:rsid w:val="00B3173E"/>
    <w:rsid w:val="00B31808"/>
    <w:rsid w:val="00B31957"/>
    <w:rsid w:val="00B319E1"/>
    <w:rsid w:val="00B31CBC"/>
    <w:rsid w:val="00B31D26"/>
    <w:rsid w:val="00B31D75"/>
    <w:rsid w:val="00B31E61"/>
    <w:rsid w:val="00B321F5"/>
    <w:rsid w:val="00B322C5"/>
    <w:rsid w:val="00B3278B"/>
    <w:rsid w:val="00B32A4B"/>
    <w:rsid w:val="00B32D9F"/>
    <w:rsid w:val="00B32F3D"/>
    <w:rsid w:val="00B33034"/>
    <w:rsid w:val="00B331FE"/>
    <w:rsid w:val="00B3337C"/>
    <w:rsid w:val="00B333CC"/>
    <w:rsid w:val="00B3383A"/>
    <w:rsid w:val="00B33A2C"/>
    <w:rsid w:val="00B33B0D"/>
    <w:rsid w:val="00B33C26"/>
    <w:rsid w:val="00B33DA2"/>
    <w:rsid w:val="00B33E1B"/>
    <w:rsid w:val="00B340DE"/>
    <w:rsid w:val="00B342C3"/>
    <w:rsid w:val="00B342D3"/>
    <w:rsid w:val="00B34663"/>
    <w:rsid w:val="00B346CD"/>
    <w:rsid w:val="00B348A1"/>
    <w:rsid w:val="00B34AF1"/>
    <w:rsid w:val="00B34B88"/>
    <w:rsid w:val="00B34DA8"/>
    <w:rsid w:val="00B34F3D"/>
    <w:rsid w:val="00B35023"/>
    <w:rsid w:val="00B3504D"/>
    <w:rsid w:val="00B350BD"/>
    <w:rsid w:val="00B35143"/>
    <w:rsid w:val="00B353AB"/>
    <w:rsid w:val="00B3559C"/>
    <w:rsid w:val="00B357B5"/>
    <w:rsid w:val="00B35AFB"/>
    <w:rsid w:val="00B35B6C"/>
    <w:rsid w:val="00B35B96"/>
    <w:rsid w:val="00B35BB5"/>
    <w:rsid w:val="00B35D75"/>
    <w:rsid w:val="00B35F8B"/>
    <w:rsid w:val="00B36011"/>
    <w:rsid w:val="00B36280"/>
    <w:rsid w:val="00B3668A"/>
    <w:rsid w:val="00B36B2D"/>
    <w:rsid w:val="00B36DB1"/>
    <w:rsid w:val="00B36E30"/>
    <w:rsid w:val="00B36E50"/>
    <w:rsid w:val="00B3709C"/>
    <w:rsid w:val="00B37279"/>
    <w:rsid w:val="00B372B0"/>
    <w:rsid w:val="00B3782D"/>
    <w:rsid w:val="00B379EF"/>
    <w:rsid w:val="00B37A8F"/>
    <w:rsid w:val="00B37EEB"/>
    <w:rsid w:val="00B37FE7"/>
    <w:rsid w:val="00B407A6"/>
    <w:rsid w:val="00B40833"/>
    <w:rsid w:val="00B40869"/>
    <w:rsid w:val="00B4093E"/>
    <w:rsid w:val="00B40A1E"/>
    <w:rsid w:val="00B40D98"/>
    <w:rsid w:val="00B40EE7"/>
    <w:rsid w:val="00B41034"/>
    <w:rsid w:val="00B41044"/>
    <w:rsid w:val="00B41051"/>
    <w:rsid w:val="00B41197"/>
    <w:rsid w:val="00B416FA"/>
    <w:rsid w:val="00B4170E"/>
    <w:rsid w:val="00B418D5"/>
    <w:rsid w:val="00B4190F"/>
    <w:rsid w:val="00B419B7"/>
    <w:rsid w:val="00B419CC"/>
    <w:rsid w:val="00B41B52"/>
    <w:rsid w:val="00B41B7C"/>
    <w:rsid w:val="00B41E11"/>
    <w:rsid w:val="00B421AE"/>
    <w:rsid w:val="00B426EB"/>
    <w:rsid w:val="00B42B98"/>
    <w:rsid w:val="00B42E5D"/>
    <w:rsid w:val="00B4314B"/>
    <w:rsid w:val="00B4341C"/>
    <w:rsid w:val="00B434D9"/>
    <w:rsid w:val="00B43525"/>
    <w:rsid w:val="00B43596"/>
    <w:rsid w:val="00B43690"/>
    <w:rsid w:val="00B437B3"/>
    <w:rsid w:val="00B4386F"/>
    <w:rsid w:val="00B438C2"/>
    <w:rsid w:val="00B43C31"/>
    <w:rsid w:val="00B43C6E"/>
    <w:rsid w:val="00B43EA0"/>
    <w:rsid w:val="00B43F32"/>
    <w:rsid w:val="00B43F6A"/>
    <w:rsid w:val="00B43F6F"/>
    <w:rsid w:val="00B440B5"/>
    <w:rsid w:val="00B4420E"/>
    <w:rsid w:val="00B4427F"/>
    <w:rsid w:val="00B4438A"/>
    <w:rsid w:val="00B44453"/>
    <w:rsid w:val="00B445D3"/>
    <w:rsid w:val="00B4461F"/>
    <w:rsid w:val="00B44738"/>
    <w:rsid w:val="00B44E55"/>
    <w:rsid w:val="00B450F3"/>
    <w:rsid w:val="00B45558"/>
    <w:rsid w:val="00B45911"/>
    <w:rsid w:val="00B45C00"/>
    <w:rsid w:val="00B45C51"/>
    <w:rsid w:val="00B45E09"/>
    <w:rsid w:val="00B46047"/>
    <w:rsid w:val="00B461E1"/>
    <w:rsid w:val="00B462CC"/>
    <w:rsid w:val="00B46478"/>
    <w:rsid w:val="00B465B9"/>
    <w:rsid w:val="00B466AE"/>
    <w:rsid w:val="00B4674D"/>
    <w:rsid w:val="00B46BED"/>
    <w:rsid w:val="00B46D09"/>
    <w:rsid w:val="00B46D2B"/>
    <w:rsid w:val="00B46D67"/>
    <w:rsid w:val="00B46EE1"/>
    <w:rsid w:val="00B471F8"/>
    <w:rsid w:val="00B4725E"/>
    <w:rsid w:val="00B473BD"/>
    <w:rsid w:val="00B47861"/>
    <w:rsid w:val="00B478E1"/>
    <w:rsid w:val="00B47969"/>
    <w:rsid w:val="00B479F4"/>
    <w:rsid w:val="00B47AB9"/>
    <w:rsid w:val="00B47CD8"/>
    <w:rsid w:val="00B47F09"/>
    <w:rsid w:val="00B47FED"/>
    <w:rsid w:val="00B50084"/>
    <w:rsid w:val="00B500CE"/>
    <w:rsid w:val="00B50130"/>
    <w:rsid w:val="00B501B9"/>
    <w:rsid w:val="00B50213"/>
    <w:rsid w:val="00B502CC"/>
    <w:rsid w:val="00B504DB"/>
    <w:rsid w:val="00B5063F"/>
    <w:rsid w:val="00B506D2"/>
    <w:rsid w:val="00B507FC"/>
    <w:rsid w:val="00B50AF6"/>
    <w:rsid w:val="00B50B95"/>
    <w:rsid w:val="00B50C0A"/>
    <w:rsid w:val="00B50DAB"/>
    <w:rsid w:val="00B50FA8"/>
    <w:rsid w:val="00B5107F"/>
    <w:rsid w:val="00B511A0"/>
    <w:rsid w:val="00B512F1"/>
    <w:rsid w:val="00B5135A"/>
    <w:rsid w:val="00B51BF7"/>
    <w:rsid w:val="00B51F04"/>
    <w:rsid w:val="00B51F22"/>
    <w:rsid w:val="00B51FAD"/>
    <w:rsid w:val="00B520C9"/>
    <w:rsid w:val="00B520E6"/>
    <w:rsid w:val="00B5261D"/>
    <w:rsid w:val="00B52708"/>
    <w:rsid w:val="00B5271A"/>
    <w:rsid w:val="00B5287E"/>
    <w:rsid w:val="00B528BB"/>
    <w:rsid w:val="00B52979"/>
    <w:rsid w:val="00B52CE1"/>
    <w:rsid w:val="00B52DB9"/>
    <w:rsid w:val="00B53347"/>
    <w:rsid w:val="00B53628"/>
    <w:rsid w:val="00B536FC"/>
    <w:rsid w:val="00B53751"/>
    <w:rsid w:val="00B53815"/>
    <w:rsid w:val="00B53C0B"/>
    <w:rsid w:val="00B53D93"/>
    <w:rsid w:val="00B53FF4"/>
    <w:rsid w:val="00B541F3"/>
    <w:rsid w:val="00B542F0"/>
    <w:rsid w:val="00B5436A"/>
    <w:rsid w:val="00B543A6"/>
    <w:rsid w:val="00B54685"/>
    <w:rsid w:val="00B5469E"/>
    <w:rsid w:val="00B54777"/>
    <w:rsid w:val="00B5498F"/>
    <w:rsid w:val="00B54A66"/>
    <w:rsid w:val="00B54B96"/>
    <w:rsid w:val="00B54BB6"/>
    <w:rsid w:val="00B54C17"/>
    <w:rsid w:val="00B54D72"/>
    <w:rsid w:val="00B54E45"/>
    <w:rsid w:val="00B54F30"/>
    <w:rsid w:val="00B5510D"/>
    <w:rsid w:val="00B551FD"/>
    <w:rsid w:val="00B55328"/>
    <w:rsid w:val="00B55380"/>
    <w:rsid w:val="00B55721"/>
    <w:rsid w:val="00B558B5"/>
    <w:rsid w:val="00B5597C"/>
    <w:rsid w:val="00B55B5A"/>
    <w:rsid w:val="00B56133"/>
    <w:rsid w:val="00B561B6"/>
    <w:rsid w:val="00B561D7"/>
    <w:rsid w:val="00B56231"/>
    <w:rsid w:val="00B56254"/>
    <w:rsid w:val="00B5625D"/>
    <w:rsid w:val="00B562C7"/>
    <w:rsid w:val="00B5661D"/>
    <w:rsid w:val="00B56731"/>
    <w:rsid w:val="00B567B8"/>
    <w:rsid w:val="00B568F6"/>
    <w:rsid w:val="00B56A98"/>
    <w:rsid w:val="00B56B49"/>
    <w:rsid w:val="00B56BB9"/>
    <w:rsid w:val="00B56D3F"/>
    <w:rsid w:val="00B56D4C"/>
    <w:rsid w:val="00B56D5E"/>
    <w:rsid w:val="00B56EFD"/>
    <w:rsid w:val="00B57247"/>
    <w:rsid w:val="00B57259"/>
    <w:rsid w:val="00B5731D"/>
    <w:rsid w:val="00B575AC"/>
    <w:rsid w:val="00B57769"/>
    <w:rsid w:val="00B5779C"/>
    <w:rsid w:val="00B5795C"/>
    <w:rsid w:val="00B57D2B"/>
    <w:rsid w:val="00B57F94"/>
    <w:rsid w:val="00B60228"/>
    <w:rsid w:val="00B60598"/>
    <w:rsid w:val="00B605C5"/>
    <w:rsid w:val="00B60828"/>
    <w:rsid w:val="00B60B28"/>
    <w:rsid w:val="00B60B7D"/>
    <w:rsid w:val="00B60BA8"/>
    <w:rsid w:val="00B60C82"/>
    <w:rsid w:val="00B60DA1"/>
    <w:rsid w:val="00B60DBC"/>
    <w:rsid w:val="00B60F9B"/>
    <w:rsid w:val="00B60FD7"/>
    <w:rsid w:val="00B61010"/>
    <w:rsid w:val="00B610E7"/>
    <w:rsid w:val="00B610FC"/>
    <w:rsid w:val="00B611BF"/>
    <w:rsid w:val="00B61226"/>
    <w:rsid w:val="00B6137B"/>
    <w:rsid w:val="00B6141B"/>
    <w:rsid w:val="00B616AA"/>
    <w:rsid w:val="00B618EE"/>
    <w:rsid w:val="00B61B2C"/>
    <w:rsid w:val="00B61B33"/>
    <w:rsid w:val="00B61C00"/>
    <w:rsid w:val="00B61D77"/>
    <w:rsid w:val="00B61E26"/>
    <w:rsid w:val="00B62233"/>
    <w:rsid w:val="00B6282D"/>
    <w:rsid w:val="00B628E9"/>
    <w:rsid w:val="00B629C2"/>
    <w:rsid w:val="00B62AFA"/>
    <w:rsid w:val="00B6309A"/>
    <w:rsid w:val="00B63116"/>
    <w:rsid w:val="00B6319F"/>
    <w:rsid w:val="00B631B8"/>
    <w:rsid w:val="00B63338"/>
    <w:rsid w:val="00B63582"/>
    <w:rsid w:val="00B63787"/>
    <w:rsid w:val="00B63800"/>
    <w:rsid w:val="00B639B6"/>
    <w:rsid w:val="00B639F0"/>
    <w:rsid w:val="00B63C4B"/>
    <w:rsid w:val="00B63D6B"/>
    <w:rsid w:val="00B63EED"/>
    <w:rsid w:val="00B640F6"/>
    <w:rsid w:val="00B64248"/>
    <w:rsid w:val="00B644ED"/>
    <w:rsid w:val="00B6459D"/>
    <w:rsid w:val="00B64897"/>
    <w:rsid w:val="00B6492E"/>
    <w:rsid w:val="00B6497A"/>
    <w:rsid w:val="00B64A64"/>
    <w:rsid w:val="00B64AF3"/>
    <w:rsid w:val="00B64BDB"/>
    <w:rsid w:val="00B64CF3"/>
    <w:rsid w:val="00B65034"/>
    <w:rsid w:val="00B650C6"/>
    <w:rsid w:val="00B652B0"/>
    <w:rsid w:val="00B652B3"/>
    <w:rsid w:val="00B6570B"/>
    <w:rsid w:val="00B65B15"/>
    <w:rsid w:val="00B65BDE"/>
    <w:rsid w:val="00B65D77"/>
    <w:rsid w:val="00B65D8A"/>
    <w:rsid w:val="00B65EB1"/>
    <w:rsid w:val="00B65F5B"/>
    <w:rsid w:val="00B65FE3"/>
    <w:rsid w:val="00B66290"/>
    <w:rsid w:val="00B664C1"/>
    <w:rsid w:val="00B667BC"/>
    <w:rsid w:val="00B6681B"/>
    <w:rsid w:val="00B66923"/>
    <w:rsid w:val="00B66AE5"/>
    <w:rsid w:val="00B66C52"/>
    <w:rsid w:val="00B66C70"/>
    <w:rsid w:val="00B66DCA"/>
    <w:rsid w:val="00B66DD5"/>
    <w:rsid w:val="00B66E14"/>
    <w:rsid w:val="00B66E7D"/>
    <w:rsid w:val="00B66FC3"/>
    <w:rsid w:val="00B670D5"/>
    <w:rsid w:val="00B672E5"/>
    <w:rsid w:val="00B674E1"/>
    <w:rsid w:val="00B6766B"/>
    <w:rsid w:val="00B67770"/>
    <w:rsid w:val="00B67826"/>
    <w:rsid w:val="00B678BD"/>
    <w:rsid w:val="00B67A34"/>
    <w:rsid w:val="00B67BA8"/>
    <w:rsid w:val="00B67CD5"/>
    <w:rsid w:val="00B67E4A"/>
    <w:rsid w:val="00B7000B"/>
    <w:rsid w:val="00B7008D"/>
    <w:rsid w:val="00B70151"/>
    <w:rsid w:val="00B70160"/>
    <w:rsid w:val="00B70319"/>
    <w:rsid w:val="00B703A5"/>
    <w:rsid w:val="00B703C7"/>
    <w:rsid w:val="00B706AA"/>
    <w:rsid w:val="00B70CEA"/>
    <w:rsid w:val="00B70DB0"/>
    <w:rsid w:val="00B70EDC"/>
    <w:rsid w:val="00B70F3E"/>
    <w:rsid w:val="00B70F97"/>
    <w:rsid w:val="00B71203"/>
    <w:rsid w:val="00B7135C"/>
    <w:rsid w:val="00B713B5"/>
    <w:rsid w:val="00B714E1"/>
    <w:rsid w:val="00B71700"/>
    <w:rsid w:val="00B71948"/>
    <w:rsid w:val="00B71DF7"/>
    <w:rsid w:val="00B71EFF"/>
    <w:rsid w:val="00B71FDB"/>
    <w:rsid w:val="00B71FF2"/>
    <w:rsid w:val="00B72092"/>
    <w:rsid w:val="00B72468"/>
    <w:rsid w:val="00B7250D"/>
    <w:rsid w:val="00B728FB"/>
    <w:rsid w:val="00B72B3D"/>
    <w:rsid w:val="00B72C98"/>
    <w:rsid w:val="00B72EE6"/>
    <w:rsid w:val="00B72FAD"/>
    <w:rsid w:val="00B73114"/>
    <w:rsid w:val="00B731E7"/>
    <w:rsid w:val="00B732DB"/>
    <w:rsid w:val="00B73620"/>
    <w:rsid w:val="00B73680"/>
    <w:rsid w:val="00B737C6"/>
    <w:rsid w:val="00B738F8"/>
    <w:rsid w:val="00B73A74"/>
    <w:rsid w:val="00B73C5B"/>
    <w:rsid w:val="00B73DC8"/>
    <w:rsid w:val="00B73F88"/>
    <w:rsid w:val="00B7436A"/>
    <w:rsid w:val="00B743D9"/>
    <w:rsid w:val="00B7442B"/>
    <w:rsid w:val="00B744C0"/>
    <w:rsid w:val="00B7459B"/>
    <w:rsid w:val="00B7474F"/>
    <w:rsid w:val="00B74A0F"/>
    <w:rsid w:val="00B74A38"/>
    <w:rsid w:val="00B74A39"/>
    <w:rsid w:val="00B74CCC"/>
    <w:rsid w:val="00B74E4C"/>
    <w:rsid w:val="00B74ED4"/>
    <w:rsid w:val="00B7508A"/>
    <w:rsid w:val="00B752BA"/>
    <w:rsid w:val="00B75357"/>
    <w:rsid w:val="00B753A6"/>
    <w:rsid w:val="00B755C3"/>
    <w:rsid w:val="00B758B7"/>
    <w:rsid w:val="00B758F5"/>
    <w:rsid w:val="00B759E8"/>
    <w:rsid w:val="00B75B33"/>
    <w:rsid w:val="00B75F05"/>
    <w:rsid w:val="00B7607D"/>
    <w:rsid w:val="00B765DB"/>
    <w:rsid w:val="00B76648"/>
    <w:rsid w:val="00B767DA"/>
    <w:rsid w:val="00B7682F"/>
    <w:rsid w:val="00B76A42"/>
    <w:rsid w:val="00B76AD2"/>
    <w:rsid w:val="00B76B49"/>
    <w:rsid w:val="00B76D5B"/>
    <w:rsid w:val="00B76D5C"/>
    <w:rsid w:val="00B76F29"/>
    <w:rsid w:val="00B76FA8"/>
    <w:rsid w:val="00B772AC"/>
    <w:rsid w:val="00B77379"/>
    <w:rsid w:val="00B773C3"/>
    <w:rsid w:val="00B7745E"/>
    <w:rsid w:val="00B7755D"/>
    <w:rsid w:val="00B775AB"/>
    <w:rsid w:val="00B77638"/>
    <w:rsid w:val="00B777AB"/>
    <w:rsid w:val="00B7780E"/>
    <w:rsid w:val="00B7785A"/>
    <w:rsid w:val="00B77B07"/>
    <w:rsid w:val="00B77B51"/>
    <w:rsid w:val="00B77D5F"/>
    <w:rsid w:val="00B77E05"/>
    <w:rsid w:val="00B77E25"/>
    <w:rsid w:val="00B80024"/>
    <w:rsid w:val="00B80378"/>
    <w:rsid w:val="00B8040D"/>
    <w:rsid w:val="00B80917"/>
    <w:rsid w:val="00B809BF"/>
    <w:rsid w:val="00B80A22"/>
    <w:rsid w:val="00B80AA9"/>
    <w:rsid w:val="00B80B74"/>
    <w:rsid w:val="00B80D40"/>
    <w:rsid w:val="00B80E98"/>
    <w:rsid w:val="00B80EB6"/>
    <w:rsid w:val="00B80F1F"/>
    <w:rsid w:val="00B81013"/>
    <w:rsid w:val="00B81191"/>
    <w:rsid w:val="00B813CA"/>
    <w:rsid w:val="00B8147F"/>
    <w:rsid w:val="00B81588"/>
    <w:rsid w:val="00B815CB"/>
    <w:rsid w:val="00B8166D"/>
    <w:rsid w:val="00B817D0"/>
    <w:rsid w:val="00B81801"/>
    <w:rsid w:val="00B8193F"/>
    <w:rsid w:val="00B81AB4"/>
    <w:rsid w:val="00B81DB5"/>
    <w:rsid w:val="00B821A0"/>
    <w:rsid w:val="00B8258E"/>
    <w:rsid w:val="00B82629"/>
    <w:rsid w:val="00B829A6"/>
    <w:rsid w:val="00B82AD1"/>
    <w:rsid w:val="00B82F7B"/>
    <w:rsid w:val="00B834A1"/>
    <w:rsid w:val="00B834B6"/>
    <w:rsid w:val="00B836F3"/>
    <w:rsid w:val="00B837D0"/>
    <w:rsid w:val="00B83813"/>
    <w:rsid w:val="00B8385C"/>
    <w:rsid w:val="00B838B9"/>
    <w:rsid w:val="00B838D4"/>
    <w:rsid w:val="00B83AD7"/>
    <w:rsid w:val="00B83B66"/>
    <w:rsid w:val="00B83B7D"/>
    <w:rsid w:val="00B83C2A"/>
    <w:rsid w:val="00B83C71"/>
    <w:rsid w:val="00B83DFC"/>
    <w:rsid w:val="00B83ED1"/>
    <w:rsid w:val="00B84031"/>
    <w:rsid w:val="00B841E6"/>
    <w:rsid w:val="00B84282"/>
    <w:rsid w:val="00B84468"/>
    <w:rsid w:val="00B84680"/>
    <w:rsid w:val="00B84713"/>
    <w:rsid w:val="00B8490D"/>
    <w:rsid w:val="00B84CA7"/>
    <w:rsid w:val="00B84F68"/>
    <w:rsid w:val="00B856B5"/>
    <w:rsid w:val="00B859AA"/>
    <w:rsid w:val="00B85A95"/>
    <w:rsid w:val="00B85AB8"/>
    <w:rsid w:val="00B85B65"/>
    <w:rsid w:val="00B85C27"/>
    <w:rsid w:val="00B85FA8"/>
    <w:rsid w:val="00B86550"/>
    <w:rsid w:val="00B866D3"/>
    <w:rsid w:val="00B86952"/>
    <w:rsid w:val="00B8698D"/>
    <w:rsid w:val="00B86AAE"/>
    <w:rsid w:val="00B86B12"/>
    <w:rsid w:val="00B86B49"/>
    <w:rsid w:val="00B86B97"/>
    <w:rsid w:val="00B86C8C"/>
    <w:rsid w:val="00B86D7A"/>
    <w:rsid w:val="00B8755D"/>
    <w:rsid w:val="00B8758E"/>
    <w:rsid w:val="00B8784A"/>
    <w:rsid w:val="00B87BD0"/>
    <w:rsid w:val="00B87D15"/>
    <w:rsid w:val="00B87E2F"/>
    <w:rsid w:val="00B87E31"/>
    <w:rsid w:val="00B87F1D"/>
    <w:rsid w:val="00B900BB"/>
    <w:rsid w:val="00B90540"/>
    <w:rsid w:val="00B905A9"/>
    <w:rsid w:val="00B905B6"/>
    <w:rsid w:val="00B90694"/>
    <w:rsid w:val="00B90852"/>
    <w:rsid w:val="00B90875"/>
    <w:rsid w:val="00B908B6"/>
    <w:rsid w:val="00B909AA"/>
    <w:rsid w:val="00B90CE6"/>
    <w:rsid w:val="00B90DA2"/>
    <w:rsid w:val="00B9100C"/>
    <w:rsid w:val="00B91040"/>
    <w:rsid w:val="00B911E5"/>
    <w:rsid w:val="00B9128C"/>
    <w:rsid w:val="00B913E9"/>
    <w:rsid w:val="00B915EA"/>
    <w:rsid w:val="00B916B9"/>
    <w:rsid w:val="00B9175B"/>
    <w:rsid w:val="00B91AD7"/>
    <w:rsid w:val="00B91C8E"/>
    <w:rsid w:val="00B91D75"/>
    <w:rsid w:val="00B91FE6"/>
    <w:rsid w:val="00B9204A"/>
    <w:rsid w:val="00B921A0"/>
    <w:rsid w:val="00B92200"/>
    <w:rsid w:val="00B92372"/>
    <w:rsid w:val="00B92423"/>
    <w:rsid w:val="00B9256A"/>
    <w:rsid w:val="00B925DA"/>
    <w:rsid w:val="00B927AC"/>
    <w:rsid w:val="00B927CD"/>
    <w:rsid w:val="00B92B79"/>
    <w:rsid w:val="00B92BB1"/>
    <w:rsid w:val="00B92E0C"/>
    <w:rsid w:val="00B932D4"/>
    <w:rsid w:val="00B9339C"/>
    <w:rsid w:val="00B93473"/>
    <w:rsid w:val="00B93702"/>
    <w:rsid w:val="00B93AB5"/>
    <w:rsid w:val="00B9404F"/>
    <w:rsid w:val="00B9414B"/>
    <w:rsid w:val="00B9449A"/>
    <w:rsid w:val="00B9452A"/>
    <w:rsid w:val="00B94564"/>
    <w:rsid w:val="00B946E6"/>
    <w:rsid w:val="00B9473C"/>
    <w:rsid w:val="00B949DC"/>
    <w:rsid w:val="00B95219"/>
    <w:rsid w:val="00B952A9"/>
    <w:rsid w:val="00B95485"/>
    <w:rsid w:val="00B95578"/>
    <w:rsid w:val="00B95612"/>
    <w:rsid w:val="00B957BE"/>
    <w:rsid w:val="00B958F4"/>
    <w:rsid w:val="00B95AF7"/>
    <w:rsid w:val="00B95B5E"/>
    <w:rsid w:val="00B95BE4"/>
    <w:rsid w:val="00B95FBC"/>
    <w:rsid w:val="00B9605B"/>
    <w:rsid w:val="00B9617C"/>
    <w:rsid w:val="00B96361"/>
    <w:rsid w:val="00B96474"/>
    <w:rsid w:val="00B96504"/>
    <w:rsid w:val="00B96616"/>
    <w:rsid w:val="00B96686"/>
    <w:rsid w:val="00B96751"/>
    <w:rsid w:val="00B967AA"/>
    <w:rsid w:val="00B96865"/>
    <w:rsid w:val="00B969DB"/>
    <w:rsid w:val="00B96C0B"/>
    <w:rsid w:val="00B96C8F"/>
    <w:rsid w:val="00B96CC5"/>
    <w:rsid w:val="00B96E21"/>
    <w:rsid w:val="00B96E72"/>
    <w:rsid w:val="00B96EE1"/>
    <w:rsid w:val="00B96F9E"/>
    <w:rsid w:val="00B970A4"/>
    <w:rsid w:val="00B9736D"/>
    <w:rsid w:val="00B97404"/>
    <w:rsid w:val="00B97CFE"/>
    <w:rsid w:val="00BA0097"/>
    <w:rsid w:val="00BA0141"/>
    <w:rsid w:val="00BA01E9"/>
    <w:rsid w:val="00BA023E"/>
    <w:rsid w:val="00BA034B"/>
    <w:rsid w:val="00BA0354"/>
    <w:rsid w:val="00BA0413"/>
    <w:rsid w:val="00BA0496"/>
    <w:rsid w:val="00BA04EA"/>
    <w:rsid w:val="00BA053D"/>
    <w:rsid w:val="00BA0797"/>
    <w:rsid w:val="00BA086A"/>
    <w:rsid w:val="00BA08E0"/>
    <w:rsid w:val="00BA099C"/>
    <w:rsid w:val="00BA0B5E"/>
    <w:rsid w:val="00BA0B82"/>
    <w:rsid w:val="00BA0B90"/>
    <w:rsid w:val="00BA1255"/>
    <w:rsid w:val="00BA1315"/>
    <w:rsid w:val="00BA1770"/>
    <w:rsid w:val="00BA1996"/>
    <w:rsid w:val="00BA19A8"/>
    <w:rsid w:val="00BA19B4"/>
    <w:rsid w:val="00BA1AB4"/>
    <w:rsid w:val="00BA1BB1"/>
    <w:rsid w:val="00BA1C51"/>
    <w:rsid w:val="00BA1F20"/>
    <w:rsid w:val="00BA1FC9"/>
    <w:rsid w:val="00BA20B9"/>
    <w:rsid w:val="00BA21C0"/>
    <w:rsid w:val="00BA21E6"/>
    <w:rsid w:val="00BA2521"/>
    <w:rsid w:val="00BA2618"/>
    <w:rsid w:val="00BA28A9"/>
    <w:rsid w:val="00BA28B0"/>
    <w:rsid w:val="00BA2A3E"/>
    <w:rsid w:val="00BA2A7B"/>
    <w:rsid w:val="00BA2AF6"/>
    <w:rsid w:val="00BA2CD9"/>
    <w:rsid w:val="00BA343D"/>
    <w:rsid w:val="00BA3544"/>
    <w:rsid w:val="00BA3711"/>
    <w:rsid w:val="00BA3A22"/>
    <w:rsid w:val="00BA3FE1"/>
    <w:rsid w:val="00BA4132"/>
    <w:rsid w:val="00BA4304"/>
    <w:rsid w:val="00BA44C3"/>
    <w:rsid w:val="00BA451D"/>
    <w:rsid w:val="00BA4630"/>
    <w:rsid w:val="00BA4A7C"/>
    <w:rsid w:val="00BA4B21"/>
    <w:rsid w:val="00BA4C09"/>
    <w:rsid w:val="00BA4C30"/>
    <w:rsid w:val="00BA5092"/>
    <w:rsid w:val="00BA553B"/>
    <w:rsid w:val="00BA5554"/>
    <w:rsid w:val="00BA58E8"/>
    <w:rsid w:val="00BA59F8"/>
    <w:rsid w:val="00BA5AB1"/>
    <w:rsid w:val="00BA5B69"/>
    <w:rsid w:val="00BA5BBA"/>
    <w:rsid w:val="00BA5EEF"/>
    <w:rsid w:val="00BA6393"/>
    <w:rsid w:val="00BA641A"/>
    <w:rsid w:val="00BA646D"/>
    <w:rsid w:val="00BA6583"/>
    <w:rsid w:val="00BA6612"/>
    <w:rsid w:val="00BA68D3"/>
    <w:rsid w:val="00BA6EF8"/>
    <w:rsid w:val="00BA7018"/>
    <w:rsid w:val="00BA7039"/>
    <w:rsid w:val="00BA710D"/>
    <w:rsid w:val="00BA7284"/>
    <w:rsid w:val="00BA7338"/>
    <w:rsid w:val="00BA73B2"/>
    <w:rsid w:val="00BA7431"/>
    <w:rsid w:val="00BA74B0"/>
    <w:rsid w:val="00BA74DA"/>
    <w:rsid w:val="00BA7702"/>
    <w:rsid w:val="00BA7A0E"/>
    <w:rsid w:val="00BA7AC9"/>
    <w:rsid w:val="00BA7B25"/>
    <w:rsid w:val="00BA7D27"/>
    <w:rsid w:val="00BA7D33"/>
    <w:rsid w:val="00BA7E11"/>
    <w:rsid w:val="00BB02E9"/>
    <w:rsid w:val="00BB052B"/>
    <w:rsid w:val="00BB05BE"/>
    <w:rsid w:val="00BB0647"/>
    <w:rsid w:val="00BB069D"/>
    <w:rsid w:val="00BB0712"/>
    <w:rsid w:val="00BB0C26"/>
    <w:rsid w:val="00BB0F8E"/>
    <w:rsid w:val="00BB11EB"/>
    <w:rsid w:val="00BB1449"/>
    <w:rsid w:val="00BB14B7"/>
    <w:rsid w:val="00BB16A5"/>
    <w:rsid w:val="00BB1873"/>
    <w:rsid w:val="00BB1A34"/>
    <w:rsid w:val="00BB1C5E"/>
    <w:rsid w:val="00BB1DAA"/>
    <w:rsid w:val="00BB1E5D"/>
    <w:rsid w:val="00BB1EDE"/>
    <w:rsid w:val="00BB249A"/>
    <w:rsid w:val="00BB24CD"/>
    <w:rsid w:val="00BB2627"/>
    <w:rsid w:val="00BB26DC"/>
    <w:rsid w:val="00BB27A4"/>
    <w:rsid w:val="00BB2BCC"/>
    <w:rsid w:val="00BB2F6E"/>
    <w:rsid w:val="00BB2FC0"/>
    <w:rsid w:val="00BB3102"/>
    <w:rsid w:val="00BB329D"/>
    <w:rsid w:val="00BB32AF"/>
    <w:rsid w:val="00BB342B"/>
    <w:rsid w:val="00BB3A1C"/>
    <w:rsid w:val="00BB4027"/>
    <w:rsid w:val="00BB441D"/>
    <w:rsid w:val="00BB44C3"/>
    <w:rsid w:val="00BB4531"/>
    <w:rsid w:val="00BB4825"/>
    <w:rsid w:val="00BB48B4"/>
    <w:rsid w:val="00BB48DD"/>
    <w:rsid w:val="00BB4921"/>
    <w:rsid w:val="00BB4A14"/>
    <w:rsid w:val="00BB4A7D"/>
    <w:rsid w:val="00BB5043"/>
    <w:rsid w:val="00BB50A1"/>
    <w:rsid w:val="00BB50FE"/>
    <w:rsid w:val="00BB52A5"/>
    <w:rsid w:val="00BB5479"/>
    <w:rsid w:val="00BB5681"/>
    <w:rsid w:val="00BB5A4E"/>
    <w:rsid w:val="00BB6056"/>
    <w:rsid w:val="00BB643B"/>
    <w:rsid w:val="00BB6479"/>
    <w:rsid w:val="00BB6506"/>
    <w:rsid w:val="00BB6E82"/>
    <w:rsid w:val="00BB6EC6"/>
    <w:rsid w:val="00BB70E8"/>
    <w:rsid w:val="00BB728F"/>
    <w:rsid w:val="00BB788C"/>
    <w:rsid w:val="00BB7B5D"/>
    <w:rsid w:val="00BB7C5F"/>
    <w:rsid w:val="00BC02A2"/>
    <w:rsid w:val="00BC0382"/>
    <w:rsid w:val="00BC048E"/>
    <w:rsid w:val="00BC04BD"/>
    <w:rsid w:val="00BC0603"/>
    <w:rsid w:val="00BC097B"/>
    <w:rsid w:val="00BC0C6B"/>
    <w:rsid w:val="00BC0EFB"/>
    <w:rsid w:val="00BC10B4"/>
    <w:rsid w:val="00BC1349"/>
    <w:rsid w:val="00BC145B"/>
    <w:rsid w:val="00BC174C"/>
    <w:rsid w:val="00BC18D4"/>
    <w:rsid w:val="00BC1933"/>
    <w:rsid w:val="00BC1F17"/>
    <w:rsid w:val="00BC1FF1"/>
    <w:rsid w:val="00BC20C3"/>
    <w:rsid w:val="00BC25E1"/>
    <w:rsid w:val="00BC2667"/>
    <w:rsid w:val="00BC26A7"/>
    <w:rsid w:val="00BC26BC"/>
    <w:rsid w:val="00BC2751"/>
    <w:rsid w:val="00BC2826"/>
    <w:rsid w:val="00BC2859"/>
    <w:rsid w:val="00BC2AB3"/>
    <w:rsid w:val="00BC2F49"/>
    <w:rsid w:val="00BC31D4"/>
    <w:rsid w:val="00BC32B1"/>
    <w:rsid w:val="00BC3309"/>
    <w:rsid w:val="00BC355E"/>
    <w:rsid w:val="00BC3768"/>
    <w:rsid w:val="00BC3A03"/>
    <w:rsid w:val="00BC3E37"/>
    <w:rsid w:val="00BC3F72"/>
    <w:rsid w:val="00BC40D4"/>
    <w:rsid w:val="00BC42F5"/>
    <w:rsid w:val="00BC43F9"/>
    <w:rsid w:val="00BC46F8"/>
    <w:rsid w:val="00BC49F5"/>
    <w:rsid w:val="00BC4AD2"/>
    <w:rsid w:val="00BC4B10"/>
    <w:rsid w:val="00BC4BEC"/>
    <w:rsid w:val="00BC4C07"/>
    <w:rsid w:val="00BC4C0A"/>
    <w:rsid w:val="00BC4C3C"/>
    <w:rsid w:val="00BC4D30"/>
    <w:rsid w:val="00BC5166"/>
    <w:rsid w:val="00BC528E"/>
    <w:rsid w:val="00BC54CA"/>
    <w:rsid w:val="00BC5542"/>
    <w:rsid w:val="00BC556A"/>
    <w:rsid w:val="00BC58A5"/>
    <w:rsid w:val="00BC5919"/>
    <w:rsid w:val="00BC5CE0"/>
    <w:rsid w:val="00BC5DE7"/>
    <w:rsid w:val="00BC61E9"/>
    <w:rsid w:val="00BC643D"/>
    <w:rsid w:val="00BC64CC"/>
    <w:rsid w:val="00BC6522"/>
    <w:rsid w:val="00BC65BC"/>
    <w:rsid w:val="00BC667E"/>
    <w:rsid w:val="00BC66E4"/>
    <w:rsid w:val="00BC6722"/>
    <w:rsid w:val="00BC678E"/>
    <w:rsid w:val="00BC6B0C"/>
    <w:rsid w:val="00BC6B91"/>
    <w:rsid w:val="00BC6C1E"/>
    <w:rsid w:val="00BC6FDC"/>
    <w:rsid w:val="00BC6FE9"/>
    <w:rsid w:val="00BC70AC"/>
    <w:rsid w:val="00BC748C"/>
    <w:rsid w:val="00BC7509"/>
    <w:rsid w:val="00BC795F"/>
    <w:rsid w:val="00BC7BB3"/>
    <w:rsid w:val="00BC7D1D"/>
    <w:rsid w:val="00BC7E13"/>
    <w:rsid w:val="00BD012B"/>
    <w:rsid w:val="00BD015F"/>
    <w:rsid w:val="00BD026B"/>
    <w:rsid w:val="00BD02EB"/>
    <w:rsid w:val="00BD0367"/>
    <w:rsid w:val="00BD068D"/>
    <w:rsid w:val="00BD069B"/>
    <w:rsid w:val="00BD084A"/>
    <w:rsid w:val="00BD0958"/>
    <w:rsid w:val="00BD0B1A"/>
    <w:rsid w:val="00BD0C8C"/>
    <w:rsid w:val="00BD0D2D"/>
    <w:rsid w:val="00BD0E92"/>
    <w:rsid w:val="00BD14C1"/>
    <w:rsid w:val="00BD15BC"/>
    <w:rsid w:val="00BD1640"/>
    <w:rsid w:val="00BD172D"/>
    <w:rsid w:val="00BD17B6"/>
    <w:rsid w:val="00BD1B71"/>
    <w:rsid w:val="00BD1B90"/>
    <w:rsid w:val="00BD1D18"/>
    <w:rsid w:val="00BD1F0D"/>
    <w:rsid w:val="00BD1F7E"/>
    <w:rsid w:val="00BD1FB8"/>
    <w:rsid w:val="00BD20F7"/>
    <w:rsid w:val="00BD2371"/>
    <w:rsid w:val="00BD241C"/>
    <w:rsid w:val="00BD24D4"/>
    <w:rsid w:val="00BD25C7"/>
    <w:rsid w:val="00BD27AE"/>
    <w:rsid w:val="00BD2AD6"/>
    <w:rsid w:val="00BD2DFD"/>
    <w:rsid w:val="00BD2E5D"/>
    <w:rsid w:val="00BD33C0"/>
    <w:rsid w:val="00BD34A4"/>
    <w:rsid w:val="00BD36A5"/>
    <w:rsid w:val="00BD3CFA"/>
    <w:rsid w:val="00BD3DB4"/>
    <w:rsid w:val="00BD4102"/>
    <w:rsid w:val="00BD416D"/>
    <w:rsid w:val="00BD41BF"/>
    <w:rsid w:val="00BD42FB"/>
    <w:rsid w:val="00BD4510"/>
    <w:rsid w:val="00BD4532"/>
    <w:rsid w:val="00BD49A5"/>
    <w:rsid w:val="00BD4DD8"/>
    <w:rsid w:val="00BD5489"/>
    <w:rsid w:val="00BD5553"/>
    <w:rsid w:val="00BD5627"/>
    <w:rsid w:val="00BD57FB"/>
    <w:rsid w:val="00BD58E9"/>
    <w:rsid w:val="00BD5981"/>
    <w:rsid w:val="00BD5CDB"/>
    <w:rsid w:val="00BD5E40"/>
    <w:rsid w:val="00BD60F0"/>
    <w:rsid w:val="00BD614E"/>
    <w:rsid w:val="00BD618B"/>
    <w:rsid w:val="00BD6225"/>
    <w:rsid w:val="00BD6238"/>
    <w:rsid w:val="00BD63BA"/>
    <w:rsid w:val="00BD6467"/>
    <w:rsid w:val="00BD67B1"/>
    <w:rsid w:val="00BD6925"/>
    <w:rsid w:val="00BD6B01"/>
    <w:rsid w:val="00BD6E5C"/>
    <w:rsid w:val="00BD6FCC"/>
    <w:rsid w:val="00BD70C1"/>
    <w:rsid w:val="00BD722C"/>
    <w:rsid w:val="00BD7362"/>
    <w:rsid w:val="00BD74F9"/>
    <w:rsid w:val="00BD77E2"/>
    <w:rsid w:val="00BD7F8E"/>
    <w:rsid w:val="00BD7FFE"/>
    <w:rsid w:val="00BE0113"/>
    <w:rsid w:val="00BE0500"/>
    <w:rsid w:val="00BE05D4"/>
    <w:rsid w:val="00BE0A28"/>
    <w:rsid w:val="00BE0E14"/>
    <w:rsid w:val="00BE1072"/>
    <w:rsid w:val="00BE10DA"/>
    <w:rsid w:val="00BE12BB"/>
    <w:rsid w:val="00BE1757"/>
    <w:rsid w:val="00BE186C"/>
    <w:rsid w:val="00BE1B6D"/>
    <w:rsid w:val="00BE1BE0"/>
    <w:rsid w:val="00BE1BFD"/>
    <w:rsid w:val="00BE1E2E"/>
    <w:rsid w:val="00BE1ED1"/>
    <w:rsid w:val="00BE1F89"/>
    <w:rsid w:val="00BE2022"/>
    <w:rsid w:val="00BE2075"/>
    <w:rsid w:val="00BE224D"/>
    <w:rsid w:val="00BE256E"/>
    <w:rsid w:val="00BE266F"/>
    <w:rsid w:val="00BE26DA"/>
    <w:rsid w:val="00BE272A"/>
    <w:rsid w:val="00BE2857"/>
    <w:rsid w:val="00BE2902"/>
    <w:rsid w:val="00BE292D"/>
    <w:rsid w:val="00BE29D6"/>
    <w:rsid w:val="00BE2CDA"/>
    <w:rsid w:val="00BE2E45"/>
    <w:rsid w:val="00BE2F10"/>
    <w:rsid w:val="00BE2F59"/>
    <w:rsid w:val="00BE31E0"/>
    <w:rsid w:val="00BE3277"/>
    <w:rsid w:val="00BE32CD"/>
    <w:rsid w:val="00BE33B5"/>
    <w:rsid w:val="00BE3473"/>
    <w:rsid w:val="00BE3554"/>
    <w:rsid w:val="00BE37FA"/>
    <w:rsid w:val="00BE38F9"/>
    <w:rsid w:val="00BE39B5"/>
    <w:rsid w:val="00BE3ADA"/>
    <w:rsid w:val="00BE3ED7"/>
    <w:rsid w:val="00BE40C0"/>
    <w:rsid w:val="00BE40FD"/>
    <w:rsid w:val="00BE4482"/>
    <w:rsid w:val="00BE4580"/>
    <w:rsid w:val="00BE45A6"/>
    <w:rsid w:val="00BE468E"/>
    <w:rsid w:val="00BE480A"/>
    <w:rsid w:val="00BE4853"/>
    <w:rsid w:val="00BE4907"/>
    <w:rsid w:val="00BE49A5"/>
    <w:rsid w:val="00BE4A92"/>
    <w:rsid w:val="00BE4D0E"/>
    <w:rsid w:val="00BE4DA1"/>
    <w:rsid w:val="00BE4E0C"/>
    <w:rsid w:val="00BE4F0E"/>
    <w:rsid w:val="00BE529E"/>
    <w:rsid w:val="00BE5687"/>
    <w:rsid w:val="00BE5694"/>
    <w:rsid w:val="00BE579B"/>
    <w:rsid w:val="00BE5853"/>
    <w:rsid w:val="00BE5855"/>
    <w:rsid w:val="00BE591F"/>
    <w:rsid w:val="00BE592A"/>
    <w:rsid w:val="00BE59BC"/>
    <w:rsid w:val="00BE5A6F"/>
    <w:rsid w:val="00BE5BFD"/>
    <w:rsid w:val="00BE5D27"/>
    <w:rsid w:val="00BE5D36"/>
    <w:rsid w:val="00BE5D40"/>
    <w:rsid w:val="00BE5D96"/>
    <w:rsid w:val="00BE600D"/>
    <w:rsid w:val="00BE614C"/>
    <w:rsid w:val="00BE629D"/>
    <w:rsid w:val="00BE6428"/>
    <w:rsid w:val="00BE65C1"/>
    <w:rsid w:val="00BE66BC"/>
    <w:rsid w:val="00BE6817"/>
    <w:rsid w:val="00BE6AB3"/>
    <w:rsid w:val="00BE6CED"/>
    <w:rsid w:val="00BE6DAE"/>
    <w:rsid w:val="00BE7546"/>
    <w:rsid w:val="00BE75C3"/>
    <w:rsid w:val="00BE762C"/>
    <w:rsid w:val="00BE7767"/>
    <w:rsid w:val="00BE77D0"/>
    <w:rsid w:val="00BE77F0"/>
    <w:rsid w:val="00BE7953"/>
    <w:rsid w:val="00BE7971"/>
    <w:rsid w:val="00BE7ACF"/>
    <w:rsid w:val="00BE7CB2"/>
    <w:rsid w:val="00BE7CDF"/>
    <w:rsid w:val="00BE7D91"/>
    <w:rsid w:val="00BF003E"/>
    <w:rsid w:val="00BF0153"/>
    <w:rsid w:val="00BF0538"/>
    <w:rsid w:val="00BF0553"/>
    <w:rsid w:val="00BF05C1"/>
    <w:rsid w:val="00BF05DE"/>
    <w:rsid w:val="00BF06C1"/>
    <w:rsid w:val="00BF1076"/>
    <w:rsid w:val="00BF1292"/>
    <w:rsid w:val="00BF13D5"/>
    <w:rsid w:val="00BF145B"/>
    <w:rsid w:val="00BF1621"/>
    <w:rsid w:val="00BF164E"/>
    <w:rsid w:val="00BF16E7"/>
    <w:rsid w:val="00BF19EA"/>
    <w:rsid w:val="00BF1B2D"/>
    <w:rsid w:val="00BF1BFE"/>
    <w:rsid w:val="00BF1DE2"/>
    <w:rsid w:val="00BF1E49"/>
    <w:rsid w:val="00BF1F6E"/>
    <w:rsid w:val="00BF2124"/>
    <w:rsid w:val="00BF21A5"/>
    <w:rsid w:val="00BF239A"/>
    <w:rsid w:val="00BF240A"/>
    <w:rsid w:val="00BF2463"/>
    <w:rsid w:val="00BF25DA"/>
    <w:rsid w:val="00BF2676"/>
    <w:rsid w:val="00BF2689"/>
    <w:rsid w:val="00BF2704"/>
    <w:rsid w:val="00BF2765"/>
    <w:rsid w:val="00BF2A92"/>
    <w:rsid w:val="00BF2C35"/>
    <w:rsid w:val="00BF2D42"/>
    <w:rsid w:val="00BF2D77"/>
    <w:rsid w:val="00BF2DA5"/>
    <w:rsid w:val="00BF2E84"/>
    <w:rsid w:val="00BF3053"/>
    <w:rsid w:val="00BF307C"/>
    <w:rsid w:val="00BF333D"/>
    <w:rsid w:val="00BF3472"/>
    <w:rsid w:val="00BF349D"/>
    <w:rsid w:val="00BF3703"/>
    <w:rsid w:val="00BF370E"/>
    <w:rsid w:val="00BF37B0"/>
    <w:rsid w:val="00BF3873"/>
    <w:rsid w:val="00BF3CF6"/>
    <w:rsid w:val="00BF405B"/>
    <w:rsid w:val="00BF4084"/>
    <w:rsid w:val="00BF444D"/>
    <w:rsid w:val="00BF462C"/>
    <w:rsid w:val="00BF4C9B"/>
    <w:rsid w:val="00BF50D3"/>
    <w:rsid w:val="00BF51B7"/>
    <w:rsid w:val="00BF5450"/>
    <w:rsid w:val="00BF580F"/>
    <w:rsid w:val="00BF589B"/>
    <w:rsid w:val="00BF59DC"/>
    <w:rsid w:val="00BF5C1E"/>
    <w:rsid w:val="00BF5D5E"/>
    <w:rsid w:val="00BF5E2B"/>
    <w:rsid w:val="00BF5F20"/>
    <w:rsid w:val="00BF5F8F"/>
    <w:rsid w:val="00BF6166"/>
    <w:rsid w:val="00BF62B9"/>
    <w:rsid w:val="00BF65ED"/>
    <w:rsid w:val="00BF66BA"/>
    <w:rsid w:val="00BF6768"/>
    <w:rsid w:val="00BF68C7"/>
    <w:rsid w:val="00BF69D1"/>
    <w:rsid w:val="00BF6B08"/>
    <w:rsid w:val="00BF6DF9"/>
    <w:rsid w:val="00BF6FE6"/>
    <w:rsid w:val="00BF71B3"/>
    <w:rsid w:val="00BF71E9"/>
    <w:rsid w:val="00BF73A2"/>
    <w:rsid w:val="00BF775B"/>
    <w:rsid w:val="00BF790E"/>
    <w:rsid w:val="00BF7BAC"/>
    <w:rsid w:val="00BF7C07"/>
    <w:rsid w:val="00BF7C4F"/>
    <w:rsid w:val="00BF7CE9"/>
    <w:rsid w:val="00C00005"/>
    <w:rsid w:val="00C001DF"/>
    <w:rsid w:val="00C00276"/>
    <w:rsid w:val="00C002A3"/>
    <w:rsid w:val="00C00317"/>
    <w:rsid w:val="00C0065C"/>
    <w:rsid w:val="00C006D8"/>
    <w:rsid w:val="00C00715"/>
    <w:rsid w:val="00C00725"/>
    <w:rsid w:val="00C00AD9"/>
    <w:rsid w:val="00C00C26"/>
    <w:rsid w:val="00C00DD0"/>
    <w:rsid w:val="00C011D5"/>
    <w:rsid w:val="00C011F6"/>
    <w:rsid w:val="00C012A3"/>
    <w:rsid w:val="00C01450"/>
    <w:rsid w:val="00C015E1"/>
    <w:rsid w:val="00C015E5"/>
    <w:rsid w:val="00C0168A"/>
    <w:rsid w:val="00C01C44"/>
    <w:rsid w:val="00C01C70"/>
    <w:rsid w:val="00C01C7D"/>
    <w:rsid w:val="00C01D8B"/>
    <w:rsid w:val="00C01ED7"/>
    <w:rsid w:val="00C01F87"/>
    <w:rsid w:val="00C02135"/>
    <w:rsid w:val="00C0220D"/>
    <w:rsid w:val="00C023A3"/>
    <w:rsid w:val="00C023DF"/>
    <w:rsid w:val="00C02717"/>
    <w:rsid w:val="00C027E6"/>
    <w:rsid w:val="00C028B5"/>
    <w:rsid w:val="00C02936"/>
    <w:rsid w:val="00C029FC"/>
    <w:rsid w:val="00C02A98"/>
    <w:rsid w:val="00C02C32"/>
    <w:rsid w:val="00C02D96"/>
    <w:rsid w:val="00C02E9A"/>
    <w:rsid w:val="00C0314D"/>
    <w:rsid w:val="00C031E8"/>
    <w:rsid w:val="00C033D0"/>
    <w:rsid w:val="00C0340D"/>
    <w:rsid w:val="00C034FD"/>
    <w:rsid w:val="00C03502"/>
    <w:rsid w:val="00C0360E"/>
    <w:rsid w:val="00C03697"/>
    <w:rsid w:val="00C03707"/>
    <w:rsid w:val="00C03AB4"/>
    <w:rsid w:val="00C03DB5"/>
    <w:rsid w:val="00C03F8E"/>
    <w:rsid w:val="00C0424C"/>
    <w:rsid w:val="00C04394"/>
    <w:rsid w:val="00C04557"/>
    <w:rsid w:val="00C04626"/>
    <w:rsid w:val="00C04A5A"/>
    <w:rsid w:val="00C04C6D"/>
    <w:rsid w:val="00C04D25"/>
    <w:rsid w:val="00C05138"/>
    <w:rsid w:val="00C0522B"/>
    <w:rsid w:val="00C05516"/>
    <w:rsid w:val="00C05600"/>
    <w:rsid w:val="00C05750"/>
    <w:rsid w:val="00C05760"/>
    <w:rsid w:val="00C05C2A"/>
    <w:rsid w:val="00C05F33"/>
    <w:rsid w:val="00C05F39"/>
    <w:rsid w:val="00C05FCC"/>
    <w:rsid w:val="00C06003"/>
    <w:rsid w:val="00C06207"/>
    <w:rsid w:val="00C064B8"/>
    <w:rsid w:val="00C0661C"/>
    <w:rsid w:val="00C06734"/>
    <w:rsid w:val="00C069CF"/>
    <w:rsid w:val="00C069E4"/>
    <w:rsid w:val="00C0714D"/>
    <w:rsid w:val="00C07305"/>
    <w:rsid w:val="00C073B5"/>
    <w:rsid w:val="00C07641"/>
    <w:rsid w:val="00C076A7"/>
    <w:rsid w:val="00C07949"/>
    <w:rsid w:val="00C07C5B"/>
    <w:rsid w:val="00C07E54"/>
    <w:rsid w:val="00C07F91"/>
    <w:rsid w:val="00C1051B"/>
    <w:rsid w:val="00C10576"/>
    <w:rsid w:val="00C1076B"/>
    <w:rsid w:val="00C1082F"/>
    <w:rsid w:val="00C109E3"/>
    <w:rsid w:val="00C10B6F"/>
    <w:rsid w:val="00C10BD0"/>
    <w:rsid w:val="00C10E67"/>
    <w:rsid w:val="00C1123B"/>
    <w:rsid w:val="00C113A7"/>
    <w:rsid w:val="00C114A3"/>
    <w:rsid w:val="00C114B8"/>
    <w:rsid w:val="00C114E0"/>
    <w:rsid w:val="00C1156C"/>
    <w:rsid w:val="00C11575"/>
    <w:rsid w:val="00C11D0B"/>
    <w:rsid w:val="00C11FB3"/>
    <w:rsid w:val="00C12222"/>
    <w:rsid w:val="00C122E0"/>
    <w:rsid w:val="00C12308"/>
    <w:rsid w:val="00C123DD"/>
    <w:rsid w:val="00C125D2"/>
    <w:rsid w:val="00C125D5"/>
    <w:rsid w:val="00C1282D"/>
    <w:rsid w:val="00C129A1"/>
    <w:rsid w:val="00C12AA8"/>
    <w:rsid w:val="00C12F19"/>
    <w:rsid w:val="00C13040"/>
    <w:rsid w:val="00C132BA"/>
    <w:rsid w:val="00C13358"/>
    <w:rsid w:val="00C137A8"/>
    <w:rsid w:val="00C137C0"/>
    <w:rsid w:val="00C138A0"/>
    <w:rsid w:val="00C13C07"/>
    <w:rsid w:val="00C13DC9"/>
    <w:rsid w:val="00C13FE1"/>
    <w:rsid w:val="00C140AF"/>
    <w:rsid w:val="00C144F4"/>
    <w:rsid w:val="00C14529"/>
    <w:rsid w:val="00C148DF"/>
    <w:rsid w:val="00C149C1"/>
    <w:rsid w:val="00C14F04"/>
    <w:rsid w:val="00C152C2"/>
    <w:rsid w:val="00C1559F"/>
    <w:rsid w:val="00C155AD"/>
    <w:rsid w:val="00C15666"/>
    <w:rsid w:val="00C15947"/>
    <w:rsid w:val="00C15A9C"/>
    <w:rsid w:val="00C15B4A"/>
    <w:rsid w:val="00C15D78"/>
    <w:rsid w:val="00C15F24"/>
    <w:rsid w:val="00C15F39"/>
    <w:rsid w:val="00C15F65"/>
    <w:rsid w:val="00C16051"/>
    <w:rsid w:val="00C16113"/>
    <w:rsid w:val="00C164FA"/>
    <w:rsid w:val="00C16526"/>
    <w:rsid w:val="00C16548"/>
    <w:rsid w:val="00C16604"/>
    <w:rsid w:val="00C16877"/>
    <w:rsid w:val="00C16B02"/>
    <w:rsid w:val="00C16DB0"/>
    <w:rsid w:val="00C16DD7"/>
    <w:rsid w:val="00C16DEE"/>
    <w:rsid w:val="00C16ECB"/>
    <w:rsid w:val="00C16F85"/>
    <w:rsid w:val="00C17120"/>
    <w:rsid w:val="00C1714F"/>
    <w:rsid w:val="00C17152"/>
    <w:rsid w:val="00C172A6"/>
    <w:rsid w:val="00C172FB"/>
    <w:rsid w:val="00C1739C"/>
    <w:rsid w:val="00C174DC"/>
    <w:rsid w:val="00C17638"/>
    <w:rsid w:val="00C17648"/>
    <w:rsid w:val="00C17722"/>
    <w:rsid w:val="00C177E7"/>
    <w:rsid w:val="00C17AEF"/>
    <w:rsid w:val="00C17B11"/>
    <w:rsid w:val="00C17CB0"/>
    <w:rsid w:val="00C17D7F"/>
    <w:rsid w:val="00C17FAA"/>
    <w:rsid w:val="00C2002A"/>
    <w:rsid w:val="00C2005F"/>
    <w:rsid w:val="00C20080"/>
    <w:rsid w:val="00C20098"/>
    <w:rsid w:val="00C202D5"/>
    <w:rsid w:val="00C204F7"/>
    <w:rsid w:val="00C20810"/>
    <w:rsid w:val="00C20CD6"/>
    <w:rsid w:val="00C20FCB"/>
    <w:rsid w:val="00C210D5"/>
    <w:rsid w:val="00C21657"/>
    <w:rsid w:val="00C216F3"/>
    <w:rsid w:val="00C217FB"/>
    <w:rsid w:val="00C21845"/>
    <w:rsid w:val="00C21A19"/>
    <w:rsid w:val="00C21A41"/>
    <w:rsid w:val="00C21EAC"/>
    <w:rsid w:val="00C2229A"/>
    <w:rsid w:val="00C224C4"/>
    <w:rsid w:val="00C22517"/>
    <w:rsid w:val="00C22647"/>
    <w:rsid w:val="00C2299B"/>
    <w:rsid w:val="00C22A2C"/>
    <w:rsid w:val="00C22B3A"/>
    <w:rsid w:val="00C22BCE"/>
    <w:rsid w:val="00C22C40"/>
    <w:rsid w:val="00C22CAB"/>
    <w:rsid w:val="00C2317B"/>
    <w:rsid w:val="00C23435"/>
    <w:rsid w:val="00C23514"/>
    <w:rsid w:val="00C235A6"/>
    <w:rsid w:val="00C23805"/>
    <w:rsid w:val="00C23BEF"/>
    <w:rsid w:val="00C23E5B"/>
    <w:rsid w:val="00C23FC8"/>
    <w:rsid w:val="00C24074"/>
    <w:rsid w:val="00C240E3"/>
    <w:rsid w:val="00C241D8"/>
    <w:rsid w:val="00C241FE"/>
    <w:rsid w:val="00C242C2"/>
    <w:rsid w:val="00C24507"/>
    <w:rsid w:val="00C24711"/>
    <w:rsid w:val="00C247FB"/>
    <w:rsid w:val="00C247FC"/>
    <w:rsid w:val="00C24BE2"/>
    <w:rsid w:val="00C24C96"/>
    <w:rsid w:val="00C24E2F"/>
    <w:rsid w:val="00C25153"/>
    <w:rsid w:val="00C25171"/>
    <w:rsid w:val="00C251A5"/>
    <w:rsid w:val="00C25242"/>
    <w:rsid w:val="00C25539"/>
    <w:rsid w:val="00C25662"/>
    <w:rsid w:val="00C25685"/>
    <w:rsid w:val="00C25713"/>
    <w:rsid w:val="00C25809"/>
    <w:rsid w:val="00C25A95"/>
    <w:rsid w:val="00C25C2E"/>
    <w:rsid w:val="00C26112"/>
    <w:rsid w:val="00C262AD"/>
    <w:rsid w:val="00C26328"/>
    <w:rsid w:val="00C263BF"/>
    <w:rsid w:val="00C2669C"/>
    <w:rsid w:val="00C266C4"/>
    <w:rsid w:val="00C26A61"/>
    <w:rsid w:val="00C26B77"/>
    <w:rsid w:val="00C26E89"/>
    <w:rsid w:val="00C26EFB"/>
    <w:rsid w:val="00C2709E"/>
    <w:rsid w:val="00C270F5"/>
    <w:rsid w:val="00C27513"/>
    <w:rsid w:val="00C2751C"/>
    <w:rsid w:val="00C27536"/>
    <w:rsid w:val="00C27571"/>
    <w:rsid w:val="00C275DE"/>
    <w:rsid w:val="00C27809"/>
    <w:rsid w:val="00C278B6"/>
    <w:rsid w:val="00C2791A"/>
    <w:rsid w:val="00C27966"/>
    <w:rsid w:val="00C27A29"/>
    <w:rsid w:val="00C27DAE"/>
    <w:rsid w:val="00C27DBE"/>
    <w:rsid w:val="00C27F37"/>
    <w:rsid w:val="00C27F39"/>
    <w:rsid w:val="00C301C5"/>
    <w:rsid w:val="00C3034C"/>
    <w:rsid w:val="00C3044F"/>
    <w:rsid w:val="00C307DA"/>
    <w:rsid w:val="00C30847"/>
    <w:rsid w:val="00C3084C"/>
    <w:rsid w:val="00C309B4"/>
    <w:rsid w:val="00C30BDA"/>
    <w:rsid w:val="00C30C73"/>
    <w:rsid w:val="00C30D86"/>
    <w:rsid w:val="00C3114D"/>
    <w:rsid w:val="00C311EC"/>
    <w:rsid w:val="00C31302"/>
    <w:rsid w:val="00C3148F"/>
    <w:rsid w:val="00C314CC"/>
    <w:rsid w:val="00C314E1"/>
    <w:rsid w:val="00C31508"/>
    <w:rsid w:val="00C3159D"/>
    <w:rsid w:val="00C3170E"/>
    <w:rsid w:val="00C31A47"/>
    <w:rsid w:val="00C31A50"/>
    <w:rsid w:val="00C31A65"/>
    <w:rsid w:val="00C31CF6"/>
    <w:rsid w:val="00C31D1C"/>
    <w:rsid w:val="00C31D62"/>
    <w:rsid w:val="00C31DBC"/>
    <w:rsid w:val="00C31E75"/>
    <w:rsid w:val="00C3209A"/>
    <w:rsid w:val="00C3221B"/>
    <w:rsid w:val="00C324CD"/>
    <w:rsid w:val="00C32510"/>
    <w:rsid w:val="00C32642"/>
    <w:rsid w:val="00C32D6D"/>
    <w:rsid w:val="00C32F68"/>
    <w:rsid w:val="00C331D7"/>
    <w:rsid w:val="00C3324A"/>
    <w:rsid w:val="00C333F8"/>
    <w:rsid w:val="00C33715"/>
    <w:rsid w:val="00C3373B"/>
    <w:rsid w:val="00C33871"/>
    <w:rsid w:val="00C33896"/>
    <w:rsid w:val="00C339FD"/>
    <w:rsid w:val="00C33C0E"/>
    <w:rsid w:val="00C33F3B"/>
    <w:rsid w:val="00C33F71"/>
    <w:rsid w:val="00C3410D"/>
    <w:rsid w:val="00C3416D"/>
    <w:rsid w:val="00C3426E"/>
    <w:rsid w:val="00C3426F"/>
    <w:rsid w:val="00C342A5"/>
    <w:rsid w:val="00C342A7"/>
    <w:rsid w:val="00C3431F"/>
    <w:rsid w:val="00C3458B"/>
    <w:rsid w:val="00C34723"/>
    <w:rsid w:val="00C34899"/>
    <w:rsid w:val="00C3498E"/>
    <w:rsid w:val="00C349EE"/>
    <w:rsid w:val="00C34AFD"/>
    <w:rsid w:val="00C34B6D"/>
    <w:rsid w:val="00C34DC7"/>
    <w:rsid w:val="00C34E79"/>
    <w:rsid w:val="00C350D9"/>
    <w:rsid w:val="00C35205"/>
    <w:rsid w:val="00C353C7"/>
    <w:rsid w:val="00C3595B"/>
    <w:rsid w:val="00C35AF1"/>
    <w:rsid w:val="00C35B5A"/>
    <w:rsid w:val="00C3601B"/>
    <w:rsid w:val="00C360D6"/>
    <w:rsid w:val="00C360ED"/>
    <w:rsid w:val="00C36169"/>
    <w:rsid w:val="00C3678B"/>
    <w:rsid w:val="00C3685B"/>
    <w:rsid w:val="00C368F3"/>
    <w:rsid w:val="00C36D39"/>
    <w:rsid w:val="00C36D54"/>
    <w:rsid w:val="00C36D9F"/>
    <w:rsid w:val="00C36DA5"/>
    <w:rsid w:val="00C37455"/>
    <w:rsid w:val="00C3748A"/>
    <w:rsid w:val="00C3797F"/>
    <w:rsid w:val="00C37992"/>
    <w:rsid w:val="00C37AB0"/>
    <w:rsid w:val="00C37B62"/>
    <w:rsid w:val="00C37CED"/>
    <w:rsid w:val="00C37DF5"/>
    <w:rsid w:val="00C40446"/>
    <w:rsid w:val="00C4057B"/>
    <w:rsid w:val="00C40670"/>
    <w:rsid w:val="00C40883"/>
    <w:rsid w:val="00C40998"/>
    <w:rsid w:val="00C40C82"/>
    <w:rsid w:val="00C4115E"/>
    <w:rsid w:val="00C41187"/>
    <w:rsid w:val="00C411C6"/>
    <w:rsid w:val="00C411D5"/>
    <w:rsid w:val="00C412CF"/>
    <w:rsid w:val="00C4139E"/>
    <w:rsid w:val="00C413BF"/>
    <w:rsid w:val="00C4142F"/>
    <w:rsid w:val="00C415C4"/>
    <w:rsid w:val="00C4188D"/>
    <w:rsid w:val="00C4199C"/>
    <w:rsid w:val="00C41C7A"/>
    <w:rsid w:val="00C41DEF"/>
    <w:rsid w:val="00C41E61"/>
    <w:rsid w:val="00C422CD"/>
    <w:rsid w:val="00C4230D"/>
    <w:rsid w:val="00C424C0"/>
    <w:rsid w:val="00C424E1"/>
    <w:rsid w:val="00C424FC"/>
    <w:rsid w:val="00C42503"/>
    <w:rsid w:val="00C4270C"/>
    <w:rsid w:val="00C42DBE"/>
    <w:rsid w:val="00C42EA9"/>
    <w:rsid w:val="00C42EE1"/>
    <w:rsid w:val="00C42FFC"/>
    <w:rsid w:val="00C43078"/>
    <w:rsid w:val="00C4332F"/>
    <w:rsid w:val="00C43486"/>
    <w:rsid w:val="00C434B9"/>
    <w:rsid w:val="00C4353C"/>
    <w:rsid w:val="00C436D4"/>
    <w:rsid w:val="00C43B4D"/>
    <w:rsid w:val="00C43BE7"/>
    <w:rsid w:val="00C43DF8"/>
    <w:rsid w:val="00C43EF0"/>
    <w:rsid w:val="00C43FD6"/>
    <w:rsid w:val="00C4408D"/>
    <w:rsid w:val="00C440CC"/>
    <w:rsid w:val="00C441CC"/>
    <w:rsid w:val="00C441D1"/>
    <w:rsid w:val="00C44278"/>
    <w:rsid w:val="00C44393"/>
    <w:rsid w:val="00C4450B"/>
    <w:rsid w:val="00C4456B"/>
    <w:rsid w:val="00C445B1"/>
    <w:rsid w:val="00C447E4"/>
    <w:rsid w:val="00C4494E"/>
    <w:rsid w:val="00C449BA"/>
    <w:rsid w:val="00C44A69"/>
    <w:rsid w:val="00C44D10"/>
    <w:rsid w:val="00C44D62"/>
    <w:rsid w:val="00C44DAC"/>
    <w:rsid w:val="00C44EC3"/>
    <w:rsid w:val="00C450C7"/>
    <w:rsid w:val="00C4526F"/>
    <w:rsid w:val="00C45390"/>
    <w:rsid w:val="00C454F0"/>
    <w:rsid w:val="00C454FF"/>
    <w:rsid w:val="00C455EE"/>
    <w:rsid w:val="00C4582B"/>
    <w:rsid w:val="00C458CD"/>
    <w:rsid w:val="00C45928"/>
    <w:rsid w:val="00C45975"/>
    <w:rsid w:val="00C4597A"/>
    <w:rsid w:val="00C45A13"/>
    <w:rsid w:val="00C45E75"/>
    <w:rsid w:val="00C45F70"/>
    <w:rsid w:val="00C45F74"/>
    <w:rsid w:val="00C46055"/>
    <w:rsid w:val="00C46429"/>
    <w:rsid w:val="00C46636"/>
    <w:rsid w:val="00C46A93"/>
    <w:rsid w:val="00C46A96"/>
    <w:rsid w:val="00C46BEB"/>
    <w:rsid w:val="00C47296"/>
    <w:rsid w:val="00C4743B"/>
    <w:rsid w:val="00C4759A"/>
    <w:rsid w:val="00C479BC"/>
    <w:rsid w:val="00C47A70"/>
    <w:rsid w:val="00C47A7E"/>
    <w:rsid w:val="00C47B39"/>
    <w:rsid w:val="00C47C7D"/>
    <w:rsid w:val="00C47D56"/>
    <w:rsid w:val="00C47EB8"/>
    <w:rsid w:val="00C47F89"/>
    <w:rsid w:val="00C50024"/>
    <w:rsid w:val="00C501B9"/>
    <w:rsid w:val="00C50AE3"/>
    <w:rsid w:val="00C50B55"/>
    <w:rsid w:val="00C50E15"/>
    <w:rsid w:val="00C51018"/>
    <w:rsid w:val="00C5117A"/>
    <w:rsid w:val="00C51282"/>
    <w:rsid w:val="00C512C5"/>
    <w:rsid w:val="00C512C6"/>
    <w:rsid w:val="00C515CF"/>
    <w:rsid w:val="00C51AF0"/>
    <w:rsid w:val="00C51F75"/>
    <w:rsid w:val="00C521B0"/>
    <w:rsid w:val="00C521C8"/>
    <w:rsid w:val="00C522B3"/>
    <w:rsid w:val="00C52420"/>
    <w:rsid w:val="00C52433"/>
    <w:rsid w:val="00C524DB"/>
    <w:rsid w:val="00C52504"/>
    <w:rsid w:val="00C52997"/>
    <w:rsid w:val="00C52C6E"/>
    <w:rsid w:val="00C52DAA"/>
    <w:rsid w:val="00C52E95"/>
    <w:rsid w:val="00C53119"/>
    <w:rsid w:val="00C53185"/>
    <w:rsid w:val="00C53635"/>
    <w:rsid w:val="00C5395F"/>
    <w:rsid w:val="00C53999"/>
    <w:rsid w:val="00C53AEF"/>
    <w:rsid w:val="00C53D5E"/>
    <w:rsid w:val="00C53FBF"/>
    <w:rsid w:val="00C54178"/>
    <w:rsid w:val="00C54248"/>
    <w:rsid w:val="00C54440"/>
    <w:rsid w:val="00C545ED"/>
    <w:rsid w:val="00C54718"/>
    <w:rsid w:val="00C548C7"/>
    <w:rsid w:val="00C54920"/>
    <w:rsid w:val="00C54B44"/>
    <w:rsid w:val="00C54D52"/>
    <w:rsid w:val="00C54E3D"/>
    <w:rsid w:val="00C55200"/>
    <w:rsid w:val="00C556E3"/>
    <w:rsid w:val="00C55865"/>
    <w:rsid w:val="00C5594F"/>
    <w:rsid w:val="00C55B63"/>
    <w:rsid w:val="00C55B6D"/>
    <w:rsid w:val="00C55C59"/>
    <w:rsid w:val="00C55CCA"/>
    <w:rsid w:val="00C55DE3"/>
    <w:rsid w:val="00C55E23"/>
    <w:rsid w:val="00C55E79"/>
    <w:rsid w:val="00C55F93"/>
    <w:rsid w:val="00C560C6"/>
    <w:rsid w:val="00C5611C"/>
    <w:rsid w:val="00C565D1"/>
    <w:rsid w:val="00C566D9"/>
    <w:rsid w:val="00C566F4"/>
    <w:rsid w:val="00C56771"/>
    <w:rsid w:val="00C5678B"/>
    <w:rsid w:val="00C5683A"/>
    <w:rsid w:val="00C5688F"/>
    <w:rsid w:val="00C56C43"/>
    <w:rsid w:val="00C56C66"/>
    <w:rsid w:val="00C56D30"/>
    <w:rsid w:val="00C56D44"/>
    <w:rsid w:val="00C56D88"/>
    <w:rsid w:val="00C56EDB"/>
    <w:rsid w:val="00C57004"/>
    <w:rsid w:val="00C57113"/>
    <w:rsid w:val="00C57241"/>
    <w:rsid w:val="00C57281"/>
    <w:rsid w:val="00C573B2"/>
    <w:rsid w:val="00C5742E"/>
    <w:rsid w:val="00C57571"/>
    <w:rsid w:val="00C57577"/>
    <w:rsid w:val="00C57587"/>
    <w:rsid w:val="00C57621"/>
    <w:rsid w:val="00C57786"/>
    <w:rsid w:val="00C577B7"/>
    <w:rsid w:val="00C5782D"/>
    <w:rsid w:val="00C57A51"/>
    <w:rsid w:val="00C57A56"/>
    <w:rsid w:val="00C57B5F"/>
    <w:rsid w:val="00C57B7C"/>
    <w:rsid w:val="00C57C07"/>
    <w:rsid w:val="00C57C0F"/>
    <w:rsid w:val="00C57ECE"/>
    <w:rsid w:val="00C57FB4"/>
    <w:rsid w:val="00C6013A"/>
    <w:rsid w:val="00C6029C"/>
    <w:rsid w:val="00C602BA"/>
    <w:rsid w:val="00C602DC"/>
    <w:rsid w:val="00C602E8"/>
    <w:rsid w:val="00C60542"/>
    <w:rsid w:val="00C60676"/>
    <w:rsid w:val="00C606CC"/>
    <w:rsid w:val="00C6079B"/>
    <w:rsid w:val="00C60992"/>
    <w:rsid w:val="00C60A6D"/>
    <w:rsid w:val="00C60A8B"/>
    <w:rsid w:val="00C60F67"/>
    <w:rsid w:val="00C612E6"/>
    <w:rsid w:val="00C6166A"/>
    <w:rsid w:val="00C61A11"/>
    <w:rsid w:val="00C61E6A"/>
    <w:rsid w:val="00C61F3D"/>
    <w:rsid w:val="00C6225B"/>
    <w:rsid w:val="00C622AC"/>
    <w:rsid w:val="00C6297A"/>
    <w:rsid w:val="00C62B4A"/>
    <w:rsid w:val="00C62C0F"/>
    <w:rsid w:val="00C62C37"/>
    <w:rsid w:val="00C62D87"/>
    <w:rsid w:val="00C62D93"/>
    <w:rsid w:val="00C63248"/>
    <w:rsid w:val="00C632C9"/>
    <w:rsid w:val="00C636C0"/>
    <w:rsid w:val="00C637E7"/>
    <w:rsid w:val="00C6381B"/>
    <w:rsid w:val="00C6389B"/>
    <w:rsid w:val="00C63B6A"/>
    <w:rsid w:val="00C63B94"/>
    <w:rsid w:val="00C641B4"/>
    <w:rsid w:val="00C643E3"/>
    <w:rsid w:val="00C64606"/>
    <w:rsid w:val="00C64621"/>
    <w:rsid w:val="00C646B4"/>
    <w:rsid w:val="00C647F4"/>
    <w:rsid w:val="00C649F8"/>
    <w:rsid w:val="00C64A4E"/>
    <w:rsid w:val="00C64D1C"/>
    <w:rsid w:val="00C64EFB"/>
    <w:rsid w:val="00C64F92"/>
    <w:rsid w:val="00C6500D"/>
    <w:rsid w:val="00C65170"/>
    <w:rsid w:val="00C6539E"/>
    <w:rsid w:val="00C653EC"/>
    <w:rsid w:val="00C65512"/>
    <w:rsid w:val="00C65693"/>
    <w:rsid w:val="00C6580B"/>
    <w:rsid w:val="00C65A75"/>
    <w:rsid w:val="00C65CFA"/>
    <w:rsid w:val="00C65D7C"/>
    <w:rsid w:val="00C65F09"/>
    <w:rsid w:val="00C65F46"/>
    <w:rsid w:val="00C65F81"/>
    <w:rsid w:val="00C66045"/>
    <w:rsid w:val="00C660D3"/>
    <w:rsid w:val="00C662A7"/>
    <w:rsid w:val="00C663FE"/>
    <w:rsid w:val="00C665F2"/>
    <w:rsid w:val="00C66769"/>
    <w:rsid w:val="00C6677A"/>
    <w:rsid w:val="00C6677F"/>
    <w:rsid w:val="00C66C6C"/>
    <w:rsid w:val="00C66C87"/>
    <w:rsid w:val="00C66CA8"/>
    <w:rsid w:val="00C67036"/>
    <w:rsid w:val="00C6709F"/>
    <w:rsid w:val="00C670B1"/>
    <w:rsid w:val="00C67439"/>
    <w:rsid w:val="00C674DC"/>
    <w:rsid w:val="00C676C3"/>
    <w:rsid w:val="00C67767"/>
    <w:rsid w:val="00C67B6F"/>
    <w:rsid w:val="00C67B7E"/>
    <w:rsid w:val="00C67C29"/>
    <w:rsid w:val="00C67D9D"/>
    <w:rsid w:val="00C67E0B"/>
    <w:rsid w:val="00C67F10"/>
    <w:rsid w:val="00C704D0"/>
    <w:rsid w:val="00C7072A"/>
    <w:rsid w:val="00C70878"/>
    <w:rsid w:val="00C70921"/>
    <w:rsid w:val="00C7098A"/>
    <w:rsid w:val="00C709A8"/>
    <w:rsid w:val="00C70B08"/>
    <w:rsid w:val="00C70B81"/>
    <w:rsid w:val="00C70BE0"/>
    <w:rsid w:val="00C70E49"/>
    <w:rsid w:val="00C70FED"/>
    <w:rsid w:val="00C710D0"/>
    <w:rsid w:val="00C711E0"/>
    <w:rsid w:val="00C71386"/>
    <w:rsid w:val="00C7148B"/>
    <w:rsid w:val="00C718C4"/>
    <w:rsid w:val="00C718FF"/>
    <w:rsid w:val="00C719D0"/>
    <w:rsid w:val="00C71AF1"/>
    <w:rsid w:val="00C71F56"/>
    <w:rsid w:val="00C71F99"/>
    <w:rsid w:val="00C7200E"/>
    <w:rsid w:val="00C724EF"/>
    <w:rsid w:val="00C7260B"/>
    <w:rsid w:val="00C7291C"/>
    <w:rsid w:val="00C72977"/>
    <w:rsid w:val="00C72992"/>
    <w:rsid w:val="00C72C1D"/>
    <w:rsid w:val="00C72C99"/>
    <w:rsid w:val="00C73336"/>
    <w:rsid w:val="00C7349A"/>
    <w:rsid w:val="00C73836"/>
    <w:rsid w:val="00C73B50"/>
    <w:rsid w:val="00C73FF7"/>
    <w:rsid w:val="00C740FF"/>
    <w:rsid w:val="00C74309"/>
    <w:rsid w:val="00C74348"/>
    <w:rsid w:val="00C74381"/>
    <w:rsid w:val="00C74596"/>
    <w:rsid w:val="00C745FA"/>
    <w:rsid w:val="00C74858"/>
    <w:rsid w:val="00C74A27"/>
    <w:rsid w:val="00C74AB6"/>
    <w:rsid w:val="00C74FEC"/>
    <w:rsid w:val="00C751A6"/>
    <w:rsid w:val="00C75332"/>
    <w:rsid w:val="00C753E4"/>
    <w:rsid w:val="00C755A5"/>
    <w:rsid w:val="00C756B3"/>
    <w:rsid w:val="00C7587C"/>
    <w:rsid w:val="00C75906"/>
    <w:rsid w:val="00C75B19"/>
    <w:rsid w:val="00C75BEB"/>
    <w:rsid w:val="00C75DA7"/>
    <w:rsid w:val="00C75DB2"/>
    <w:rsid w:val="00C75E5D"/>
    <w:rsid w:val="00C75FA2"/>
    <w:rsid w:val="00C7608B"/>
    <w:rsid w:val="00C76221"/>
    <w:rsid w:val="00C762A1"/>
    <w:rsid w:val="00C763FC"/>
    <w:rsid w:val="00C764C5"/>
    <w:rsid w:val="00C76556"/>
    <w:rsid w:val="00C76618"/>
    <w:rsid w:val="00C766CD"/>
    <w:rsid w:val="00C76785"/>
    <w:rsid w:val="00C7682E"/>
    <w:rsid w:val="00C76DE9"/>
    <w:rsid w:val="00C76E2B"/>
    <w:rsid w:val="00C76E36"/>
    <w:rsid w:val="00C76E77"/>
    <w:rsid w:val="00C7758E"/>
    <w:rsid w:val="00C775AC"/>
    <w:rsid w:val="00C77A4E"/>
    <w:rsid w:val="00C77C64"/>
    <w:rsid w:val="00C77D30"/>
    <w:rsid w:val="00C77EA9"/>
    <w:rsid w:val="00C77EF8"/>
    <w:rsid w:val="00C800D9"/>
    <w:rsid w:val="00C80474"/>
    <w:rsid w:val="00C805C0"/>
    <w:rsid w:val="00C80609"/>
    <w:rsid w:val="00C80634"/>
    <w:rsid w:val="00C8084F"/>
    <w:rsid w:val="00C8097E"/>
    <w:rsid w:val="00C809F4"/>
    <w:rsid w:val="00C80C01"/>
    <w:rsid w:val="00C812E6"/>
    <w:rsid w:val="00C81392"/>
    <w:rsid w:val="00C819AC"/>
    <w:rsid w:val="00C81E3E"/>
    <w:rsid w:val="00C81F77"/>
    <w:rsid w:val="00C81FEB"/>
    <w:rsid w:val="00C820BB"/>
    <w:rsid w:val="00C82120"/>
    <w:rsid w:val="00C82418"/>
    <w:rsid w:val="00C82511"/>
    <w:rsid w:val="00C827A6"/>
    <w:rsid w:val="00C82973"/>
    <w:rsid w:val="00C82B53"/>
    <w:rsid w:val="00C82EE5"/>
    <w:rsid w:val="00C82F4B"/>
    <w:rsid w:val="00C82F6A"/>
    <w:rsid w:val="00C83035"/>
    <w:rsid w:val="00C83153"/>
    <w:rsid w:val="00C83267"/>
    <w:rsid w:val="00C83277"/>
    <w:rsid w:val="00C83926"/>
    <w:rsid w:val="00C83A4B"/>
    <w:rsid w:val="00C83ED0"/>
    <w:rsid w:val="00C8408A"/>
    <w:rsid w:val="00C84204"/>
    <w:rsid w:val="00C84308"/>
    <w:rsid w:val="00C843D2"/>
    <w:rsid w:val="00C843F7"/>
    <w:rsid w:val="00C844C1"/>
    <w:rsid w:val="00C844E8"/>
    <w:rsid w:val="00C84577"/>
    <w:rsid w:val="00C845FE"/>
    <w:rsid w:val="00C8465B"/>
    <w:rsid w:val="00C846BD"/>
    <w:rsid w:val="00C8473A"/>
    <w:rsid w:val="00C84820"/>
    <w:rsid w:val="00C849D3"/>
    <w:rsid w:val="00C84C7E"/>
    <w:rsid w:val="00C84CB1"/>
    <w:rsid w:val="00C84CE1"/>
    <w:rsid w:val="00C84CEC"/>
    <w:rsid w:val="00C84F46"/>
    <w:rsid w:val="00C84FCA"/>
    <w:rsid w:val="00C8500F"/>
    <w:rsid w:val="00C8504B"/>
    <w:rsid w:val="00C85229"/>
    <w:rsid w:val="00C85278"/>
    <w:rsid w:val="00C853AB"/>
    <w:rsid w:val="00C855E4"/>
    <w:rsid w:val="00C8577C"/>
    <w:rsid w:val="00C8578F"/>
    <w:rsid w:val="00C858AE"/>
    <w:rsid w:val="00C858EA"/>
    <w:rsid w:val="00C85B17"/>
    <w:rsid w:val="00C85C70"/>
    <w:rsid w:val="00C85EDB"/>
    <w:rsid w:val="00C86243"/>
    <w:rsid w:val="00C864CC"/>
    <w:rsid w:val="00C86504"/>
    <w:rsid w:val="00C86663"/>
    <w:rsid w:val="00C8677C"/>
    <w:rsid w:val="00C869BF"/>
    <w:rsid w:val="00C86B3E"/>
    <w:rsid w:val="00C86C17"/>
    <w:rsid w:val="00C86C26"/>
    <w:rsid w:val="00C86C78"/>
    <w:rsid w:val="00C86D6E"/>
    <w:rsid w:val="00C86E12"/>
    <w:rsid w:val="00C86ED2"/>
    <w:rsid w:val="00C86F31"/>
    <w:rsid w:val="00C86FDC"/>
    <w:rsid w:val="00C86FE5"/>
    <w:rsid w:val="00C870EC"/>
    <w:rsid w:val="00C872D9"/>
    <w:rsid w:val="00C87428"/>
    <w:rsid w:val="00C874A2"/>
    <w:rsid w:val="00C87505"/>
    <w:rsid w:val="00C87847"/>
    <w:rsid w:val="00C87988"/>
    <w:rsid w:val="00C87AB5"/>
    <w:rsid w:val="00C87B66"/>
    <w:rsid w:val="00C87C1C"/>
    <w:rsid w:val="00C87DE6"/>
    <w:rsid w:val="00C87E4B"/>
    <w:rsid w:val="00C87FAA"/>
    <w:rsid w:val="00C90011"/>
    <w:rsid w:val="00C900ED"/>
    <w:rsid w:val="00C900F5"/>
    <w:rsid w:val="00C90281"/>
    <w:rsid w:val="00C902BC"/>
    <w:rsid w:val="00C902D0"/>
    <w:rsid w:val="00C9030C"/>
    <w:rsid w:val="00C90765"/>
    <w:rsid w:val="00C90874"/>
    <w:rsid w:val="00C908B2"/>
    <w:rsid w:val="00C90D55"/>
    <w:rsid w:val="00C90EEB"/>
    <w:rsid w:val="00C91051"/>
    <w:rsid w:val="00C9122F"/>
    <w:rsid w:val="00C9129C"/>
    <w:rsid w:val="00C912DD"/>
    <w:rsid w:val="00C913F2"/>
    <w:rsid w:val="00C914B6"/>
    <w:rsid w:val="00C9172B"/>
    <w:rsid w:val="00C91835"/>
    <w:rsid w:val="00C91908"/>
    <w:rsid w:val="00C91C19"/>
    <w:rsid w:val="00C91D66"/>
    <w:rsid w:val="00C91D91"/>
    <w:rsid w:val="00C9207D"/>
    <w:rsid w:val="00C92333"/>
    <w:rsid w:val="00C9240A"/>
    <w:rsid w:val="00C92491"/>
    <w:rsid w:val="00C92A61"/>
    <w:rsid w:val="00C92A77"/>
    <w:rsid w:val="00C92C05"/>
    <w:rsid w:val="00C92C1A"/>
    <w:rsid w:val="00C92CB8"/>
    <w:rsid w:val="00C92CF5"/>
    <w:rsid w:val="00C92D45"/>
    <w:rsid w:val="00C92E02"/>
    <w:rsid w:val="00C92E1A"/>
    <w:rsid w:val="00C92E3B"/>
    <w:rsid w:val="00C92E4C"/>
    <w:rsid w:val="00C92FDD"/>
    <w:rsid w:val="00C9308A"/>
    <w:rsid w:val="00C9319A"/>
    <w:rsid w:val="00C93249"/>
    <w:rsid w:val="00C93462"/>
    <w:rsid w:val="00C93517"/>
    <w:rsid w:val="00C935A8"/>
    <w:rsid w:val="00C93864"/>
    <w:rsid w:val="00C9387F"/>
    <w:rsid w:val="00C938DF"/>
    <w:rsid w:val="00C93A95"/>
    <w:rsid w:val="00C93AD3"/>
    <w:rsid w:val="00C93AF4"/>
    <w:rsid w:val="00C93B35"/>
    <w:rsid w:val="00C93B5A"/>
    <w:rsid w:val="00C93DFE"/>
    <w:rsid w:val="00C9405F"/>
    <w:rsid w:val="00C942B1"/>
    <w:rsid w:val="00C943A1"/>
    <w:rsid w:val="00C943AA"/>
    <w:rsid w:val="00C94539"/>
    <w:rsid w:val="00C94925"/>
    <w:rsid w:val="00C94A33"/>
    <w:rsid w:val="00C94DEB"/>
    <w:rsid w:val="00C950E8"/>
    <w:rsid w:val="00C950FD"/>
    <w:rsid w:val="00C954BA"/>
    <w:rsid w:val="00C954D0"/>
    <w:rsid w:val="00C957C0"/>
    <w:rsid w:val="00C95849"/>
    <w:rsid w:val="00C95A0F"/>
    <w:rsid w:val="00C95F8F"/>
    <w:rsid w:val="00C96067"/>
    <w:rsid w:val="00C960FE"/>
    <w:rsid w:val="00C96107"/>
    <w:rsid w:val="00C961B4"/>
    <w:rsid w:val="00C9664C"/>
    <w:rsid w:val="00C968CC"/>
    <w:rsid w:val="00C96A8B"/>
    <w:rsid w:val="00C96B93"/>
    <w:rsid w:val="00C96BAD"/>
    <w:rsid w:val="00C96BB5"/>
    <w:rsid w:val="00C96D0D"/>
    <w:rsid w:val="00C96E2C"/>
    <w:rsid w:val="00C97082"/>
    <w:rsid w:val="00C9711A"/>
    <w:rsid w:val="00C97530"/>
    <w:rsid w:val="00C9755E"/>
    <w:rsid w:val="00C97BB9"/>
    <w:rsid w:val="00C97D71"/>
    <w:rsid w:val="00CA0031"/>
    <w:rsid w:val="00CA00A4"/>
    <w:rsid w:val="00CA0132"/>
    <w:rsid w:val="00CA01BE"/>
    <w:rsid w:val="00CA0295"/>
    <w:rsid w:val="00CA02EF"/>
    <w:rsid w:val="00CA048F"/>
    <w:rsid w:val="00CA0926"/>
    <w:rsid w:val="00CA099B"/>
    <w:rsid w:val="00CA0DAF"/>
    <w:rsid w:val="00CA0E35"/>
    <w:rsid w:val="00CA0F3D"/>
    <w:rsid w:val="00CA100C"/>
    <w:rsid w:val="00CA107B"/>
    <w:rsid w:val="00CA10E3"/>
    <w:rsid w:val="00CA11C2"/>
    <w:rsid w:val="00CA1260"/>
    <w:rsid w:val="00CA14EC"/>
    <w:rsid w:val="00CA157D"/>
    <w:rsid w:val="00CA166A"/>
    <w:rsid w:val="00CA1695"/>
    <w:rsid w:val="00CA16B8"/>
    <w:rsid w:val="00CA16F4"/>
    <w:rsid w:val="00CA171C"/>
    <w:rsid w:val="00CA17D0"/>
    <w:rsid w:val="00CA1853"/>
    <w:rsid w:val="00CA1981"/>
    <w:rsid w:val="00CA1A1C"/>
    <w:rsid w:val="00CA1B4F"/>
    <w:rsid w:val="00CA1C15"/>
    <w:rsid w:val="00CA1EE3"/>
    <w:rsid w:val="00CA2065"/>
    <w:rsid w:val="00CA21A1"/>
    <w:rsid w:val="00CA21F5"/>
    <w:rsid w:val="00CA2477"/>
    <w:rsid w:val="00CA24FB"/>
    <w:rsid w:val="00CA2569"/>
    <w:rsid w:val="00CA25F5"/>
    <w:rsid w:val="00CA268B"/>
    <w:rsid w:val="00CA28F7"/>
    <w:rsid w:val="00CA2963"/>
    <w:rsid w:val="00CA2A3F"/>
    <w:rsid w:val="00CA2ABB"/>
    <w:rsid w:val="00CA2AC0"/>
    <w:rsid w:val="00CA2B03"/>
    <w:rsid w:val="00CA2BCA"/>
    <w:rsid w:val="00CA2C9E"/>
    <w:rsid w:val="00CA2D08"/>
    <w:rsid w:val="00CA2EFD"/>
    <w:rsid w:val="00CA2F51"/>
    <w:rsid w:val="00CA2FF9"/>
    <w:rsid w:val="00CA308F"/>
    <w:rsid w:val="00CA33FE"/>
    <w:rsid w:val="00CA3500"/>
    <w:rsid w:val="00CA3559"/>
    <w:rsid w:val="00CA3750"/>
    <w:rsid w:val="00CA3B56"/>
    <w:rsid w:val="00CA3DA5"/>
    <w:rsid w:val="00CA3E75"/>
    <w:rsid w:val="00CA4069"/>
    <w:rsid w:val="00CA407A"/>
    <w:rsid w:val="00CA40C9"/>
    <w:rsid w:val="00CA4170"/>
    <w:rsid w:val="00CA437C"/>
    <w:rsid w:val="00CA43BB"/>
    <w:rsid w:val="00CA43F9"/>
    <w:rsid w:val="00CA4504"/>
    <w:rsid w:val="00CA4561"/>
    <w:rsid w:val="00CA468B"/>
    <w:rsid w:val="00CA4907"/>
    <w:rsid w:val="00CA49E6"/>
    <w:rsid w:val="00CA4ACE"/>
    <w:rsid w:val="00CA4D19"/>
    <w:rsid w:val="00CA4D1F"/>
    <w:rsid w:val="00CA4FBA"/>
    <w:rsid w:val="00CA524D"/>
    <w:rsid w:val="00CA525E"/>
    <w:rsid w:val="00CA5498"/>
    <w:rsid w:val="00CA556C"/>
    <w:rsid w:val="00CA56C4"/>
    <w:rsid w:val="00CA57B2"/>
    <w:rsid w:val="00CA5878"/>
    <w:rsid w:val="00CA5A05"/>
    <w:rsid w:val="00CA5C95"/>
    <w:rsid w:val="00CA5EA3"/>
    <w:rsid w:val="00CA61C1"/>
    <w:rsid w:val="00CA627A"/>
    <w:rsid w:val="00CA64CA"/>
    <w:rsid w:val="00CA6580"/>
    <w:rsid w:val="00CA66E3"/>
    <w:rsid w:val="00CA696B"/>
    <w:rsid w:val="00CA6ACA"/>
    <w:rsid w:val="00CA6C16"/>
    <w:rsid w:val="00CA6CB2"/>
    <w:rsid w:val="00CA6DD8"/>
    <w:rsid w:val="00CA71AC"/>
    <w:rsid w:val="00CA73C4"/>
    <w:rsid w:val="00CA750D"/>
    <w:rsid w:val="00CA759A"/>
    <w:rsid w:val="00CA7774"/>
    <w:rsid w:val="00CA79D4"/>
    <w:rsid w:val="00CA7A28"/>
    <w:rsid w:val="00CA7CC4"/>
    <w:rsid w:val="00CA7D6E"/>
    <w:rsid w:val="00CA7EF7"/>
    <w:rsid w:val="00CB00C0"/>
    <w:rsid w:val="00CB01CE"/>
    <w:rsid w:val="00CB02E5"/>
    <w:rsid w:val="00CB0445"/>
    <w:rsid w:val="00CB052A"/>
    <w:rsid w:val="00CB063F"/>
    <w:rsid w:val="00CB06C3"/>
    <w:rsid w:val="00CB07D6"/>
    <w:rsid w:val="00CB08C9"/>
    <w:rsid w:val="00CB09CC"/>
    <w:rsid w:val="00CB0C2A"/>
    <w:rsid w:val="00CB0E02"/>
    <w:rsid w:val="00CB1297"/>
    <w:rsid w:val="00CB142F"/>
    <w:rsid w:val="00CB149C"/>
    <w:rsid w:val="00CB1925"/>
    <w:rsid w:val="00CB1B10"/>
    <w:rsid w:val="00CB1B70"/>
    <w:rsid w:val="00CB1B86"/>
    <w:rsid w:val="00CB1C32"/>
    <w:rsid w:val="00CB1CAF"/>
    <w:rsid w:val="00CB1DD4"/>
    <w:rsid w:val="00CB1EB0"/>
    <w:rsid w:val="00CB1FB9"/>
    <w:rsid w:val="00CB20D4"/>
    <w:rsid w:val="00CB21E8"/>
    <w:rsid w:val="00CB2346"/>
    <w:rsid w:val="00CB251B"/>
    <w:rsid w:val="00CB25E6"/>
    <w:rsid w:val="00CB2610"/>
    <w:rsid w:val="00CB26D0"/>
    <w:rsid w:val="00CB27C6"/>
    <w:rsid w:val="00CB29A7"/>
    <w:rsid w:val="00CB2BD8"/>
    <w:rsid w:val="00CB2DA4"/>
    <w:rsid w:val="00CB2F1E"/>
    <w:rsid w:val="00CB2F55"/>
    <w:rsid w:val="00CB2FFF"/>
    <w:rsid w:val="00CB3096"/>
    <w:rsid w:val="00CB314C"/>
    <w:rsid w:val="00CB317A"/>
    <w:rsid w:val="00CB3232"/>
    <w:rsid w:val="00CB3270"/>
    <w:rsid w:val="00CB361E"/>
    <w:rsid w:val="00CB3859"/>
    <w:rsid w:val="00CB39BB"/>
    <w:rsid w:val="00CB3BA5"/>
    <w:rsid w:val="00CB3D75"/>
    <w:rsid w:val="00CB3D7D"/>
    <w:rsid w:val="00CB3F9C"/>
    <w:rsid w:val="00CB42E5"/>
    <w:rsid w:val="00CB4596"/>
    <w:rsid w:val="00CB479F"/>
    <w:rsid w:val="00CB4847"/>
    <w:rsid w:val="00CB4926"/>
    <w:rsid w:val="00CB4B5B"/>
    <w:rsid w:val="00CB5159"/>
    <w:rsid w:val="00CB51A1"/>
    <w:rsid w:val="00CB530F"/>
    <w:rsid w:val="00CB54DB"/>
    <w:rsid w:val="00CB5872"/>
    <w:rsid w:val="00CB5876"/>
    <w:rsid w:val="00CB58D8"/>
    <w:rsid w:val="00CB5BC5"/>
    <w:rsid w:val="00CB5CF6"/>
    <w:rsid w:val="00CB5D12"/>
    <w:rsid w:val="00CB5E67"/>
    <w:rsid w:val="00CB6008"/>
    <w:rsid w:val="00CB638A"/>
    <w:rsid w:val="00CB662F"/>
    <w:rsid w:val="00CB6697"/>
    <w:rsid w:val="00CB6DF9"/>
    <w:rsid w:val="00CB6EEA"/>
    <w:rsid w:val="00CB6F12"/>
    <w:rsid w:val="00CB6FD3"/>
    <w:rsid w:val="00CB710D"/>
    <w:rsid w:val="00CB7151"/>
    <w:rsid w:val="00CB71F2"/>
    <w:rsid w:val="00CB731C"/>
    <w:rsid w:val="00CB748D"/>
    <w:rsid w:val="00CB76CA"/>
    <w:rsid w:val="00CB7937"/>
    <w:rsid w:val="00CB7A65"/>
    <w:rsid w:val="00CB7B37"/>
    <w:rsid w:val="00CB7B7C"/>
    <w:rsid w:val="00CB7D01"/>
    <w:rsid w:val="00CB7E45"/>
    <w:rsid w:val="00CB7F54"/>
    <w:rsid w:val="00CB7FA9"/>
    <w:rsid w:val="00CC01D5"/>
    <w:rsid w:val="00CC0479"/>
    <w:rsid w:val="00CC0628"/>
    <w:rsid w:val="00CC07EA"/>
    <w:rsid w:val="00CC0A69"/>
    <w:rsid w:val="00CC0A75"/>
    <w:rsid w:val="00CC0BDF"/>
    <w:rsid w:val="00CC0DB9"/>
    <w:rsid w:val="00CC0E39"/>
    <w:rsid w:val="00CC0F20"/>
    <w:rsid w:val="00CC12FD"/>
    <w:rsid w:val="00CC13B8"/>
    <w:rsid w:val="00CC1489"/>
    <w:rsid w:val="00CC1509"/>
    <w:rsid w:val="00CC17A2"/>
    <w:rsid w:val="00CC1975"/>
    <w:rsid w:val="00CC1A22"/>
    <w:rsid w:val="00CC1A59"/>
    <w:rsid w:val="00CC1E0A"/>
    <w:rsid w:val="00CC2421"/>
    <w:rsid w:val="00CC2469"/>
    <w:rsid w:val="00CC287E"/>
    <w:rsid w:val="00CC2FE6"/>
    <w:rsid w:val="00CC305D"/>
    <w:rsid w:val="00CC323F"/>
    <w:rsid w:val="00CC3263"/>
    <w:rsid w:val="00CC3310"/>
    <w:rsid w:val="00CC347D"/>
    <w:rsid w:val="00CC35ED"/>
    <w:rsid w:val="00CC39E7"/>
    <w:rsid w:val="00CC3CD6"/>
    <w:rsid w:val="00CC3F27"/>
    <w:rsid w:val="00CC3FF6"/>
    <w:rsid w:val="00CC4190"/>
    <w:rsid w:val="00CC41BB"/>
    <w:rsid w:val="00CC41ED"/>
    <w:rsid w:val="00CC4291"/>
    <w:rsid w:val="00CC43E1"/>
    <w:rsid w:val="00CC46B5"/>
    <w:rsid w:val="00CC46FF"/>
    <w:rsid w:val="00CC476A"/>
    <w:rsid w:val="00CC4777"/>
    <w:rsid w:val="00CC4879"/>
    <w:rsid w:val="00CC489B"/>
    <w:rsid w:val="00CC4987"/>
    <w:rsid w:val="00CC4A74"/>
    <w:rsid w:val="00CC4CC3"/>
    <w:rsid w:val="00CC4D00"/>
    <w:rsid w:val="00CC4E28"/>
    <w:rsid w:val="00CC4ED0"/>
    <w:rsid w:val="00CC5344"/>
    <w:rsid w:val="00CC5570"/>
    <w:rsid w:val="00CC5638"/>
    <w:rsid w:val="00CC5ABA"/>
    <w:rsid w:val="00CC5D57"/>
    <w:rsid w:val="00CC5DF8"/>
    <w:rsid w:val="00CC5E41"/>
    <w:rsid w:val="00CC5E55"/>
    <w:rsid w:val="00CC5F59"/>
    <w:rsid w:val="00CC5FF7"/>
    <w:rsid w:val="00CC6185"/>
    <w:rsid w:val="00CC62E5"/>
    <w:rsid w:val="00CC631A"/>
    <w:rsid w:val="00CC63FB"/>
    <w:rsid w:val="00CC65A5"/>
    <w:rsid w:val="00CC673C"/>
    <w:rsid w:val="00CC6887"/>
    <w:rsid w:val="00CC69B7"/>
    <w:rsid w:val="00CC6AB0"/>
    <w:rsid w:val="00CC6B32"/>
    <w:rsid w:val="00CC7130"/>
    <w:rsid w:val="00CC71DC"/>
    <w:rsid w:val="00CC7281"/>
    <w:rsid w:val="00CC7367"/>
    <w:rsid w:val="00CC73D2"/>
    <w:rsid w:val="00CC74D7"/>
    <w:rsid w:val="00CC763A"/>
    <w:rsid w:val="00CC76A2"/>
    <w:rsid w:val="00CC799E"/>
    <w:rsid w:val="00CC7A3D"/>
    <w:rsid w:val="00CC7A6A"/>
    <w:rsid w:val="00CC7EAE"/>
    <w:rsid w:val="00CC7F11"/>
    <w:rsid w:val="00CD0002"/>
    <w:rsid w:val="00CD0055"/>
    <w:rsid w:val="00CD0178"/>
    <w:rsid w:val="00CD01ED"/>
    <w:rsid w:val="00CD0203"/>
    <w:rsid w:val="00CD02B4"/>
    <w:rsid w:val="00CD037D"/>
    <w:rsid w:val="00CD0439"/>
    <w:rsid w:val="00CD06B7"/>
    <w:rsid w:val="00CD0A7F"/>
    <w:rsid w:val="00CD0C58"/>
    <w:rsid w:val="00CD0C9D"/>
    <w:rsid w:val="00CD0F2B"/>
    <w:rsid w:val="00CD1363"/>
    <w:rsid w:val="00CD143B"/>
    <w:rsid w:val="00CD145B"/>
    <w:rsid w:val="00CD19AF"/>
    <w:rsid w:val="00CD1ABC"/>
    <w:rsid w:val="00CD1B0F"/>
    <w:rsid w:val="00CD1C1C"/>
    <w:rsid w:val="00CD1D10"/>
    <w:rsid w:val="00CD1D14"/>
    <w:rsid w:val="00CD1F10"/>
    <w:rsid w:val="00CD1F59"/>
    <w:rsid w:val="00CD20A9"/>
    <w:rsid w:val="00CD2165"/>
    <w:rsid w:val="00CD2227"/>
    <w:rsid w:val="00CD26BD"/>
    <w:rsid w:val="00CD26D7"/>
    <w:rsid w:val="00CD2782"/>
    <w:rsid w:val="00CD285A"/>
    <w:rsid w:val="00CD286D"/>
    <w:rsid w:val="00CD2A94"/>
    <w:rsid w:val="00CD2D98"/>
    <w:rsid w:val="00CD2DC1"/>
    <w:rsid w:val="00CD2DDA"/>
    <w:rsid w:val="00CD2E23"/>
    <w:rsid w:val="00CD2EEE"/>
    <w:rsid w:val="00CD31B2"/>
    <w:rsid w:val="00CD37C2"/>
    <w:rsid w:val="00CD3FB1"/>
    <w:rsid w:val="00CD4188"/>
    <w:rsid w:val="00CD4219"/>
    <w:rsid w:val="00CD441C"/>
    <w:rsid w:val="00CD4450"/>
    <w:rsid w:val="00CD45EA"/>
    <w:rsid w:val="00CD4690"/>
    <w:rsid w:val="00CD48F1"/>
    <w:rsid w:val="00CD4A5D"/>
    <w:rsid w:val="00CD4BA2"/>
    <w:rsid w:val="00CD4C56"/>
    <w:rsid w:val="00CD4D30"/>
    <w:rsid w:val="00CD4FB1"/>
    <w:rsid w:val="00CD5015"/>
    <w:rsid w:val="00CD501A"/>
    <w:rsid w:val="00CD503E"/>
    <w:rsid w:val="00CD5091"/>
    <w:rsid w:val="00CD545E"/>
    <w:rsid w:val="00CD55D2"/>
    <w:rsid w:val="00CD574D"/>
    <w:rsid w:val="00CD5890"/>
    <w:rsid w:val="00CD59C8"/>
    <w:rsid w:val="00CD5B53"/>
    <w:rsid w:val="00CD5BB3"/>
    <w:rsid w:val="00CD5D38"/>
    <w:rsid w:val="00CD5F32"/>
    <w:rsid w:val="00CD614B"/>
    <w:rsid w:val="00CD6381"/>
    <w:rsid w:val="00CD644E"/>
    <w:rsid w:val="00CD6667"/>
    <w:rsid w:val="00CD66F9"/>
    <w:rsid w:val="00CD6BC1"/>
    <w:rsid w:val="00CD6D02"/>
    <w:rsid w:val="00CD6E29"/>
    <w:rsid w:val="00CD6F58"/>
    <w:rsid w:val="00CD708B"/>
    <w:rsid w:val="00CD73C3"/>
    <w:rsid w:val="00CD73F7"/>
    <w:rsid w:val="00CD7644"/>
    <w:rsid w:val="00CD779D"/>
    <w:rsid w:val="00CD77DC"/>
    <w:rsid w:val="00CD78D9"/>
    <w:rsid w:val="00CD78F5"/>
    <w:rsid w:val="00CD794B"/>
    <w:rsid w:val="00CD79BF"/>
    <w:rsid w:val="00CD7A82"/>
    <w:rsid w:val="00CD7E92"/>
    <w:rsid w:val="00CD7F24"/>
    <w:rsid w:val="00CE066C"/>
    <w:rsid w:val="00CE080C"/>
    <w:rsid w:val="00CE0A36"/>
    <w:rsid w:val="00CE0A4C"/>
    <w:rsid w:val="00CE0B7F"/>
    <w:rsid w:val="00CE0F76"/>
    <w:rsid w:val="00CE0FD2"/>
    <w:rsid w:val="00CE1394"/>
    <w:rsid w:val="00CE15F6"/>
    <w:rsid w:val="00CE1657"/>
    <w:rsid w:val="00CE1737"/>
    <w:rsid w:val="00CE1765"/>
    <w:rsid w:val="00CE186D"/>
    <w:rsid w:val="00CE188A"/>
    <w:rsid w:val="00CE195E"/>
    <w:rsid w:val="00CE1A6F"/>
    <w:rsid w:val="00CE1D39"/>
    <w:rsid w:val="00CE1E35"/>
    <w:rsid w:val="00CE1FD4"/>
    <w:rsid w:val="00CE20C6"/>
    <w:rsid w:val="00CE2367"/>
    <w:rsid w:val="00CE2387"/>
    <w:rsid w:val="00CE24BB"/>
    <w:rsid w:val="00CE25A0"/>
    <w:rsid w:val="00CE2638"/>
    <w:rsid w:val="00CE2773"/>
    <w:rsid w:val="00CE2939"/>
    <w:rsid w:val="00CE2A68"/>
    <w:rsid w:val="00CE2C5F"/>
    <w:rsid w:val="00CE313D"/>
    <w:rsid w:val="00CE34DA"/>
    <w:rsid w:val="00CE34FB"/>
    <w:rsid w:val="00CE36F1"/>
    <w:rsid w:val="00CE38FD"/>
    <w:rsid w:val="00CE3972"/>
    <w:rsid w:val="00CE3976"/>
    <w:rsid w:val="00CE3C2A"/>
    <w:rsid w:val="00CE4469"/>
    <w:rsid w:val="00CE45CB"/>
    <w:rsid w:val="00CE4877"/>
    <w:rsid w:val="00CE4916"/>
    <w:rsid w:val="00CE4A35"/>
    <w:rsid w:val="00CE4B96"/>
    <w:rsid w:val="00CE4BC1"/>
    <w:rsid w:val="00CE4CEC"/>
    <w:rsid w:val="00CE4D56"/>
    <w:rsid w:val="00CE4DB5"/>
    <w:rsid w:val="00CE4F0D"/>
    <w:rsid w:val="00CE4FB7"/>
    <w:rsid w:val="00CE506A"/>
    <w:rsid w:val="00CE5461"/>
    <w:rsid w:val="00CE5480"/>
    <w:rsid w:val="00CE568E"/>
    <w:rsid w:val="00CE5693"/>
    <w:rsid w:val="00CE570B"/>
    <w:rsid w:val="00CE57EA"/>
    <w:rsid w:val="00CE5825"/>
    <w:rsid w:val="00CE59DE"/>
    <w:rsid w:val="00CE5A20"/>
    <w:rsid w:val="00CE5A99"/>
    <w:rsid w:val="00CE5AA0"/>
    <w:rsid w:val="00CE5B3C"/>
    <w:rsid w:val="00CE5C73"/>
    <w:rsid w:val="00CE5EC7"/>
    <w:rsid w:val="00CE6437"/>
    <w:rsid w:val="00CE665A"/>
    <w:rsid w:val="00CE6A47"/>
    <w:rsid w:val="00CE6B12"/>
    <w:rsid w:val="00CE6B2F"/>
    <w:rsid w:val="00CE6B7F"/>
    <w:rsid w:val="00CE6C66"/>
    <w:rsid w:val="00CE6FB8"/>
    <w:rsid w:val="00CE70C9"/>
    <w:rsid w:val="00CE722B"/>
    <w:rsid w:val="00CE7268"/>
    <w:rsid w:val="00CE72D8"/>
    <w:rsid w:val="00CE74F8"/>
    <w:rsid w:val="00CE7691"/>
    <w:rsid w:val="00CE76D3"/>
    <w:rsid w:val="00CE78F3"/>
    <w:rsid w:val="00CE79D8"/>
    <w:rsid w:val="00CE79E5"/>
    <w:rsid w:val="00CE7C6B"/>
    <w:rsid w:val="00CE7CDF"/>
    <w:rsid w:val="00CE7D7C"/>
    <w:rsid w:val="00CE7D91"/>
    <w:rsid w:val="00CF006E"/>
    <w:rsid w:val="00CF0115"/>
    <w:rsid w:val="00CF0183"/>
    <w:rsid w:val="00CF01C7"/>
    <w:rsid w:val="00CF04B0"/>
    <w:rsid w:val="00CF0648"/>
    <w:rsid w:val="00CF067D"/>
    <w:rsid w:val="00CF08FF"/>
    <w:rsid w:val="00CF09C2"/>
    <w:rsid w:val="00CF0D12"/>
    <w:rsid w:val="00CF0D16"/>
    <w:rsid w:val="00CF0DD5"/>
    <w:rsid w:val="00CF0E31"/>
    <w:rsid w:val="00CF1030"/>
    <w:rsid w:val="00CF1055"/>
    <w:rsid w:val="00CF1151"/>
    <w:rsid w:val="00CF1495"/>
    <w:rsid w:val="00CF16B5"/>
    <w:rsid w:val="00CF1814"/>
    <w:rsid w:val="00CF1834"/>
    <w:rsid w:val="00CF188C"/>
    <w:rsid w:val="00CF1B7C"/>
    <w:rsid w:val="00CF1E24"/>
    <w:rsid w:val="00CF1E32"/>
    <w:rsid w:val="00CF20B9"/>
    <w:rsid w:val="00CF21B4"/>
    <w:rsid w:val="00CF2257"/>
    <w:rsid w:val="00CF241A"/>
    <w:rsid w:val="00CF26A9"/>
    <w:rsid w:val="00CF2751"/>
    <w:rsid w:val="00CF28C8"/>
    <w:rsid w:val="00CF2B57"/>
    <w:rsid w:val="00CF2B91"/>
    <w:rsid w:val="00CF2CD4"/>
    <w:rsid w:val="00CF2FF2"/>
    <w:rsid w:val="00CF3037"/>
    <w:rsid w:val="00CF3402"/>
    <w:rsid w:val="00CF36AA"/>
    <w:rsid w:val="00CF36DF"/>
    <w:rsid w:val="00CF3782"/>
    <w:rsid w:val="00CF37B9"/>
    <w:rsid w:val="00CF39BB"/>
    <w:rsid w:val="00CF3FBA"/>
    <w:rsid w:val="00CF4039"/>
    <w:rsid w:val="00CF4169"/>
    <w:rsid w:val="00CF47DD"/>
    <w:rsid w:val="00CF4804"/>
    <w:rsid w:val="00CF48A8"/>
    <w:rsid w:val="00CF4985"/>
    <w:rsid w:val="00CF49E0"/>
    <w:rsid w:val="00CF4C4D"/>
    <w:rsid w:val="00CF4CB0"/>
    <w:rsid w:val="00CF4D17"/>
    <w:rsid w:val="00CF4D6E"/>
    <w:rsid w:val="00CF4DD0"/>
    <w:rsid w:val="00CF4E93"/>
    <w:rsid w:val="00CF4F17"/>
    <w:rsid w:val="00CF505B"/>
    <w:rsid w:val="00CF5136"/>
    <w:rsid w:val="00CF51BF"/>
    <w:rsid w:val="00CF54CE"/>
    <w:rsid w:val="00CF55C7"/>
    <w:rsid w:val="00CF562C"/>
    <w:rsid w:val="00CF57FE"/>
    <w:rsid w:val="00CF592B"/>
    <w:rsid w:val="00CF5939"/>
    <w:rsid w:val="00CF5A5A"/>
    <w:rsid w:val="00CF5C1E"/>
    <w:rsid w:val="00CF5DF4"/>
    <w:rsid w:val="00CF61DF"/>
    <w:rsid w:val="00CF63C8"/>
    <w:rsid w:val="00CF6484"/>
    <w:rsid w:val="00CF6820"/>
    <w:rsid w:val="00CF694D"/>
    <w:rsid w:val="00CF6997"/>
    <w:rsid w:val="00CF6C9A"/>
    <w:rsid w:val="00CF6CB9"/>
    <w:rsid w:val="00CF6D15"/>
    <w:rsid w:val="00CF6DC4"/>
    <w:rsid w:val="00CF6E3C"/>
    <w:rsid w:val="00CF6F76"/>
    <w:rsid w:val="00CF70AB"/>
    <w:rsid w:val="00CF70BD"/>
    <w:rsid w:val="00CF732A"/>
    <w:rsid w:val="00CF732B"/>
    <w:rsid w:val="00CF73C9"/>
    <w:rsid w:val="00CF74CA"/>
    <w:rsid w:val="00CF74E3"/>
    <w:rsid w:val="00CF767E"/>
    <w:rsid w:val="00CF7818"/>
    <w:rsid w:val="00CF787D"/>
    <w:rsid w:val="00CF79FB"/>
    <w:rsid w:val="00CF7A0D"/>
    <w:rsid w:val="00CF7A19"/>
    <w:rsid w:val="00CF7B38"/>
    <w:rsid w:val="00CF7EA7"/>
    <w:rsid w:val="00CF7EFD"/>
    <w:rsid w:val="00CF7F3A"/>
    <w:rsid w:val="00CF7F56"/>
    <w:rsid w:val="00CF7F72"/>
    <w:rsid w:val="00D00208"/>
    <w:rsid w:val="00D0035B"/>
    <w:rsid w:val="00D00572"/>
    <w:rsid w:val="00D00589"/>
    <w:rsid w:val="00D0059D"/>
    <w:rsid w:val="00D005FC"/>
    <w:rsid w:val="00D0084C"/>
    <w:rsid w:val="00D00A73"/>
    <w:rsid w:val="00D00AAA"/>
    <w:rsid w:val="00D00ABA"/>
    <w:rsid w:val="00D00E0F"/>
    <w:rsid w:val="00D00E38"/>
    <w:rsid w:val="00D010C2"/>
    <w:rsid w:val="00D0111C"/>
    <w:rsid w:val="00D01207"/>
    <w:rsid w:val="00D0136E"/>
    <w:rsid w:val="00D013C3"/>
    <w:rsid w:val="00D01590"/>
    <w:rsid w:val="00D01925"/>
    <w:rsid w:val="00D01A71"/>
    <w:rsid w:val="00D01B2E"/>
    <w:rsid w:val="00D01E19"/>
    <w:rsid w:val="00D01E53"/>
    <w:rsid w:val="00D01E60"/>
    <w:rsid w:val="00D01E6C"/>
    <w:rsid w:val="00D01F66"/>
    <w:rsid w:val="00D01F71"/>
    <w:rsid w:val="00D0259E"/>
    <w:rsid w:val="00D02754"/>
    <w:rsid w:val="00D02897"/>
    <w:rsid w:val="00D028E7"/>
    <w:rsid w:val="00D029C9"/>
    <w:rsid w:val="00D02D60"/>
    <w:rsid w:val="00D02D95"/>
    <w:rsid w:val="00D02EF8"/>
    <w:rsid w:val="00D02F16"/>
    <w:rsid w:val="00D031A6"/>
    <w:rsid w:val="00D031AC"/>
    <w:rsid w:val="00D032C4"/>
    <w:rsid w:val="00D034CB"/>
    <w:rsid w:val="00D036FB"/>
    <w:rsid w:val="00D03845"/>
    <w:rsid w:val="00D03901"/>
    <w:rsid w:val="00D040A0"/>
    <w:rsid w:val="00D040F0"/>
    <w:rsid w:val="00D04484"/>
    <w:rsid w:val="00D046A3"/>
    <w:rsid w:val="00D0478C"/>
    <w:rsid w:val="00D048BB"/>
    <w:rsid w:val="00D04A54"/>
    <w:rsid w:val="00D04CCE"/>
    <w:rsid w:val="00D04D29"/>
    <w:rsid w:val="00D04D60"/>
    <w:rsid w:val="00D04EE1"/>
    <w:rsid w:val="00D04FE3"/>
    <w:rsid w:val="00D05265"/>
    <w:rsid w:val="00D05298"/>
    <w:rsid w:val="00D05315"/>
    <w:rsid w:val="00D05359"/>
    <w:rsid w:val="00D05421"/>
    <w:rsid w:val="00D054EB"/>
    <w:rsid w:val="00D054F5"/>
    <w:rsid w:val="00D059E3"/>
    <w:rsid w:val="00D05BDE"/>
    <w:rsid w:val="00D05C14"/>
    <w:rsid w:val="00D05C1B"/>
    <w:rsid w:val="00D05D73"/>
    <w:rsid w:val="00D05D78"/>
    <w:rsid w:val="00D061A6"/>
    <w:rsid w:val="00D061A7"/>
    <w:rsid w:val="00D061AA"/>
    <w:rsid w:val="00D061E8"/>
    <w:rsid w:val="00D0627B"/>
    <w:rsid w:val="00D062D0"/>
    <w:rsid w:val="00D0638D"/>
    <w:rsid w:val="00D06471"/>
    <w:rsid w:val="00D0667D"/>
    <w:rsid w:val="00D06756"/>
    <w:rsid w:val="00D067E2"/>
    <w:rsid w:val="00D06820"/>
    <w:rsid w:val="00D06968"/>
    <w:rsid w:val="00D069D1"/>
    <w:rsid w:val="00D06A2F"/>
    <w:rsid w:val="00D06B2A"/>
    <w:rsid w:val="00D06DA6"/>
    <w:rsid w:val="00D0707A"/>
    <w:rsid w:val="00D07130"/>
    <w:rsid w:val="00D071E8"/>
    <w:rsid w:val="00D0725D"/>
    <w:rsid w:val="00D07716"/>
    <w:rsid w:val="00D079AF"/>
    <w:rsid w:val="00D079B3"/>
    <w:rsid w:val="00D07C27"/>
    <w:rsid w:val="00D07CAF"/>
    <w:rsid w:val="00D1025E"/>
    <w:rsid w:val="00D1036D"/>
    <w:rsid w:val="00D1054A"/>
    <w:rsid w:val="00D10590"/>
    <w:rsid w:val="00D106F3"/>
    <w:rsid w:val="00D10868"/>
    <w:rsid w:val="00D1089A"/>
    <w:rsid w:val="00D10982"/>
    <w:rsid w:val="00D109E8"/>
    <w:rsid w:val="00D10AE1"/>
    <w:rsid w:val="00D10BC3"/>
    <w:rsid w:val="00D10CBA"/>
    <w:rsid w:val="00D10D7E"/>
    <w:rsid w:val="00D10ED5"/>
    <w:rsid w:val="00D10F59"/>
    <w:rsid w:val="00D11066"/>
    <w:rsid w:val="00D1132E"/>
    <w:rsid w:val="00D113B0"/>
    <w:rsid w:val="00D11436"/>
    <w:rsid w:val="00D114FA"/>
    <w:rsid w:val="00D118BF"/>
    <w:rsid w:val="00D11B46"/>
    <w:rsid w:val="00D11BED"/>
    <w:rsid w:val="00D11FB3"/>
    <w:rsid w:val="00D11FC6"/>
    <w:rsid w:val="00D1248F"/>
    <w:rsid w:val="00D124A7"/>
    <w:rsid w:val="00D12522"/>
    <w:rsid w:val="00D1285B"/>
    <w:rsid w:val="00D128D7"/>
    <w:rsid w:val="00D12A6A"/>
    <w:rsid w:val="00D12CCD"/>
    <w:rsid w:val="00D12D1F"/>
    <w:rsid w:val="00D12E21"/>
    <w:rsid w:val="00D13316"/>
    <w:rsid w:val="00D13365"/>
    <w:rsid w:val="00D1344A"/>
    <w:rsid w:val="00D1363B"/>
    <w:rsid w:val="00D13944"/>
    <w:rsid w:val="00D13C5E"/>
    <w:rsid w:val="00D13D9E"/>
    <w:rsid w:val="00D140F1"/>
    <w:rsid w:val="00D1424A"/>
    <w:rsid w:val="00D14345"/>
    <w:rsid w:val="00D145AA"/>
    <w:rsid w:val="00D146D1"/>
    <w:rsid w:val="00D14751"/>
    <w:rsid w:val="00D14802"/>
    <w:rsid w:val="00D14AF3"/>
    <w:rsid w:val="00D14DE1"/>
    <w:rsid w:val="00D14F40"/>
    <w:rsid w:val="00D15290"/>
    <w:rsid w:val="00D152EB"/>
    <w:rsid w:val="00D15341"/>
    <w:rsid w:val="00D15583"/>
    <w:rsid w:val="00D1582A"/>
    <w:rsid w:val="00D158FD"/>
    <w:rsid w:val="00D15926"/>
    <w:rsid w:val="00D15A37"/>
    <w:rsid w:val="00D15B90"/>
    <w:rsid w:val="00D15C44"/>
    <w:rsid w:val="00D15CB5"/>
    <w:rsid w:val="00D15CB9"/>
    <w:rsid w:val="00D15D26"/>
    <w:rsid w:val="00D15DAB"/>
    <w:rsid w:val="00D15DFA"/>
    <w:rsid w:val="00D15ECC"/>
    <w:rsid w:val="00D1605E"/>
    <w:rsid w:val="00D1651F"/>
    <w:rsid w:val="00D16763"/>
    <w:rsid w:val="00D1684D"/>
    <w:rsid w:val="00D1685A"/>
    <w:rsid w:val="00D169C0"/>
    <w:rsid w:val="00D16A00"/>
    <w:rsid w:val="00D16A69"/>
    <w:rsid w:val="00D16ADE"/>
    <w:rsid w:val="00D16D93"/>
    <w:rsid w:val="00D1701A"/>
    <w:rsid w:val="00D171DF"/>
    <w:rsid w:val="00D17329"/>
    <w:rsid w:val="00D1734C"/>
    <w:rsid w:val="00D174A3"/>
    <w:rsid w:val="00D17628"/>
    <w:rsid w:val="00D177F4"/>
    <w:rsid w:val="00D17989"/>
    <w:rsid w:val="00D17A43"/>
    <w:rsid w:val="00D20056"/>
    <w:rsid w:val="00D203D4"/>
    <w:rsid w:val="00D2068C"/>
    <w:rsid w:val="00D20817"/>
    <w:rsid w:val="00D208AE"/>
    <w:rsid w:val="00D208F8"/>
    <w:rsid w:val="00D20A5D"/>
    <w:rsid w:val="00D20A9E"/>
    <w:rsid w:val="00D20AB4"/>
    <w:rsid w:val="00D20AF7"/>
    <w:rsid w:val="00D20E52"/>
    <w:rsid w:val="00D20F35"/>
    <w:rsid w:val="00D20F4C"/>
    <w:rsid w:val="00D20F50"/>
    <w:rsid w:val="00D21103"/>
    <w:rsid w:val="00D21171"/>
    <w:rsid w:val="00D21203"/>
    <w:rsid w:val="00D21279"/>
    <w:rsid w:val="00D2146C"/>
    <w:rsid w:val="00D2161F"/>
    <w:rsid w:val="00D2172C"/>
    <w:rsid w:val="00D21832"/>
    <w:rsid w:val="00D21880"/>
    <w:rsid w:val="00D21BC5"/>
    <w:rsid w:val="00D21D2B"/>
    <w:rsid w:val="00D21DE1"/>
    <w:rsid w:val="00D21F91"/>
    <w:rsid w:val="00D21FFE"/>
    <w:rsid w:val="00D22243"/>
    <w:rsid w:val="00D2236E"/>
    <w:rsid w:val="00D22684"/>
    <w:rsid w:val="00D227FD"/>
    <w:rsid w:val="00D22942"/>
    <w:rsid w:val="00D22B7E"/>
    <w:rsid w:val="00D22C08"/>
    <w:rsid w:val="00D2306A"/>
    <w:rsid w:val="00D230BE"/>
    <w:rsid w:val="00D230D6"/>
    <w:rsid w:val="00D2310A"/>
    <w:rsid w:val="00D2334D"/>
    <w:rsid w:val="00D234B3"/>
    <w:rsid w:val="00D23503"/>
    <w:rsid w:val="00D237A6"/>
    <w:rsid w:val="00D2385A"/>
    <w:rsid w:val="00D239DF"/>
    <w:rsid w:val="00D23A66"/>
    <w:rsid w:val="00D23C14"/>
    <w:rsid w:val="00D23C23"/>
    <w:rsid w:val="00D23F2B"/>
    <w:rsid w:val="00D23F93"/>
    <w:rsid w:val="00D23FE9"/>
    <w:rsid w:val="00D24160"/>
    <w:rsid w:val="00D2481A"/>
    <w:rsid w:val="00D24A46"/>
    <w:rsid w:val="00D24B60"/>
    <w:rsid w:val="00D24B6B"/>
    <w:rsid w:val="00D24CF8"/>
    <w:rsid w:val="00D24D8A"/>
    <w:rsid w:val="00D24DB4"/>
    <w:rsid w:val="00D24E4A"/>
    <w:rsid w:val="00D24E59"/>
    <w:rsid w:val="00D24FCC"/>
    <w:rsid w:val="00D252E0"/>
    <w:rsid w:val="00D2560B"/>
    <w:rsid w:val="00D25692"/>
    <w:rsid w:val="00D259B4"/>
    <w:rsid w:val="00D25ACE"/>
    <w:rsid w:val="00D25B2C"/>
    <w:rsid w:val="00D25BF2"/>
    <w:rsid w:val="00D25BF8"/>
    <w:rsid w:val="00D25DCC"/>
    <w:rsid w:val="00D25DEE"/>
    <w:rsid w:val="00D25FB6"/>
    <w:rsid w:val="00D2602D"/>
    <w:rsid w:val="00D26599"/>
    <w:rsid w:val="00D265A0"/>
    <w:rsid w:val="00D2668B"/>
    <w:rsid w:val="00D267CE"/>
    <w:rsid w:val="00D26A02"/>
    <w:rsid w:val="00D26AA1"/>
    <w:rsid w:val="00D26B20"/>
    <w:rsid w:val="00D26CA9"/>
    <w:rsid w:val="00D26CD0"/>
    <w:rsid w:val="00D27020"/>
    <w:rsid w:val="00D271E4"/>
    <w:rsid w:val="00D2742B"/>
    <w:rsid w:val="00D27564"/>
    <w:rsid w:val="00D275AF"/>
    <w:rsid w:val="00D2764B"/>
    <w:rsid w:val="00D2765D"/>
    <w:rsid w:val="00D27776"/>
    <w:rsid w:val="00D277AA"/>
    <w:rsid w:val="00D2782D"/>
    <w:rsid w:val="00D2785C"/>
    <w:rsid w:val="00D27A41"/>
    <w:rsid w:val="00D27AE6"/>
    <w:rsid w:val="00D27BC6"/>
    <w:rsid w:val="00D27C87"/>
    <w:rsid w:val="00D27F3D"/>
    <w:rsid w:val="00D301F3"/>
    <w:rsid w:val="00D3022B"/>
    <w:rsid w:val="00D30287"/>
    <w:rsid w:val="00D30414"/>
    <w:rsid w:val="00D30532"/>
    <w:rsid w:val="00D30610"/>
    <w:rsid w:val="00D30648"/>
    <w:rsid w:val="00D30785"/>
    <w:rsid w:val="00D3091A"/>
    <w:rsid w:val="00D30938"/>
    <w:rsid w:val="00D309EE"/>
    <w:rsid w:val="00D30A89"/>
    <w:rsid w:val="00D30FE4"/>
    <w:rsid w:val="00D31333"/>
    <w:rsid w:val="00D31537"/>
    <w:rsid w:val="00D3153C"/>
    <w:rsid w:val="00D316B6"/>
    <w:rsid w:val="00D31818"/>
    <w:rsid w:val="00D31944"/>
    <w:rsid w:val="00D319DA"/>
    <w:rsid w:val="00D31B54"/>
    <w:rsid w:val="00D31BE5"/>
    <w:rsid w:val="00D31C7B"/>
    <w:rsid w:val="00D31E05"/>
    <w:rsid w:val="00D31F91"/>
    <w:rsid w:val="00D32109"/>
    <w:rsid w:val="00D32213"/>
    <w:rsid w:val="00D322E2"/>
    <w:rsid w:val="00D324B7"/>
    <w:rsid w:val="00D324F1"/>
    <w:rsid w:val="00D3268E"/>
    <w:rsid w:val="00D326CC"/>
    <w:rsid w:val="00D327F3"/>
    <w:rsid w:val="00D327FC"/>
    <w:rsid w:val="00D32803"/>
    <w:rsid w:val="00D32AD5"/>
    <w:rsid w:val="00D32C81"/>
    <w:rsid w:val="00D32CEF"/>
    <w:rsid w:val="00D330C4"/>
    <w:rsid w:val="00D33114"/>
    <w:rsid w:val="00D33116"/>
    <w:rsid w:val="00D3315E"/>
    <w:rsid w:val="00D3335B"/>
    <w:rsid w:val="00D3352F"/>
    <w:rsid w:val="00D33567"/>
    <w:rsid w:val="00D337F3"/>
    <w:rsid w:val="00D33C3E"/>
    <w:rsid w:val="00D33D54"/>
    <w:rsid w:val="00D33EF7"/>
    <w:rsid w:val="00D3417E"/>
    <w:rsid w:val="00D3434C"/>
    <w:rsid w:val="00D34415"/>
    <w:rsid w:val="00D3442C"/>
    <w:rsid w:val="00D34433"/>
    <w:rsid w:val="00D34590"/>
    <w:rsid w:val="00D3462E"/>
    <w:rsid w:val="00D347A9"/>
    <w:rsid w:val="00D348B3"/>
    <w:rsid w:val="00D3499D"/>
    <w:rsid w:val="00D34A1D"/>
    <w:rsid w:val="00D34A96"/>
    <w:rsid w:val="00D34ADF"/>
    <w:rsid w:val="00D34AEE"/>
    <w:rsid w:val="00D34DEE"/>
    <w:rsid w:val="00D34FC4"/>
    <w:rsid w:val="00D3508E"/>
    <w:rsid w:val="00D350C0"/>
    <w:rsid w:val="00D35153"/>
    <w:rsid w:val="00D351E6"/>
    <w:rsid w:val="00D35483"/>
    <w:rsid w:val="00D355E6"/>
    <w:rsid w:val="00D35633"/>
    <w:rsid w:val="00D35701"/>
    <w:rsid w:val="00D358D3"/>
    <w:rsid w:val="00D35F16"/>
    <w:rsid w:val="00D35F82"/>
    <w:rsid w:val="00D360C0"/>
    <w:rsid w:val="00D3614C"/>
    <w:rsid w:val="00D36163"/>
    <w:rsid w:val="00D3622E"/>
    <w:rsid w:val="00D3631B"/>
    <w:rsid w:val="00D3633C"/>
    <w:rsid w:val="00D364D3"/>
    <w:rsid w:val="00D3687F"/>
    <w:rsid w:val="00D36B7D"/>
    <w:rsid w:val="00D36E52"/>
    <w:rsid w:val="00D36FC6"/>
    <w:rsid w:val="00D37170"/>
    <w:rsid w:val="00D375EC"/>
    <w:rsid w:val="00D376FA"/>
    <w:rsid w:val="00D3771C"/>
    <w:rsid w:val="00D3776F"/>
    <w:rsid w:val="00D37891"/>
    <w:rsid w:val="00D37A38"/>
    <w:rsid w:val="00D37A89"/>
    <w:rsid w:val="00D37C00"/>
    <w:rsid w:val="00D37D6E"/>
    <w:rsid w:val="00D4025B"/>
    <w:rsid w:val="00D404BC"/>
    <w:rsid w:val="00D40510"/>
    <w:rsid w:val="00D405AD"/>
    <w:rsid w:val="00D405BE"/>
    <w:rsid w:val="00D4066A"/>
    <w:rsid w:val="00D407FC"/>
    <w:rsid w:val="00D40AAF"/>
    <w:rsid w:val="00D40C2D"/>
    <w:rsid w:val="00D40CDE"/>
    <w:rsid w:val="00D40D47"/>
    <w:rsid w:val="00D40E58"/>
    <w:rsid w:val="00D40E88"/>
    <w:rsid w:val="00D40E94"/>
    <w:rsid w:val="00D40EC3"/>
    <w:rsid w:val="00D410EF"/>
    <w:rsid w:val="00D413CA"/>
    <w:rsid w:val="00D41507"/>
    <w:rsid w:val="00D41573"/>
    <w:rsid w:val="00D415AA"/>
    <w:rsid w:val="00D41969"/>
    <w:rsid w:val="00D419C4"/>
    <w:rsid w:val="00D41F97"/>
    <w:rsid w:val="00D41FD3"/>
    <w:rsid w:val="00D41FFE"/>
    <w:rsid w:val="00D42068"/>
    <w:rsid w:val="00D42867"/>
    <w:rsid w:val="00D42A21"/>
    <w:rsid w:val="00D42A6C"/>
    <w:rsid w:val="00D42D4B"/>
    <w:rsid w:val="00D42F46"/>
    <w:rsid w:val="00D43138"/>
    <w:rsid w:val="00D4334C"/>
    <w:rsid w:val="00D43ADF"/>
    <w:rsid w:val="00D43B59"/>
    <w:rsid w:val="00D43C44"/>
    <w:rsid w:val="00D43CD4"/>
    <w:rsid w:val="00D440D5"/>
    <w:rsid w:val="00D441B0"/>
    <w:rsid w:val="00D44296"/>
    <w:rsid w:val="00D443A6"/>
    <w:rsid w:val="00D447A2"/>
    <w:rsid w:val="00D44854"/>
    <w:rsid w:val="00D44A33"/>
    <w:rsid w:val="00D44D0E"/>
    <w:rsid w:val="00D44DD7"/>
    <w:rsid w:val="00D45219"/>
    <w:rsid w:val="00D4529A"/>
    <w:rsid w:val="00D452BD"/>
    <w:rsid w:val="00D45578"/>
    <w:rsid w:val="00D45907"/>
    <w:rsid w:val="00D45924"/>
    <w:rsid w:val="00D45A90"/>
    <w:rsid w:val="00D45BAD"/>
    <w:rsid w:val="00D45E5F"/>
    <w:rsid w:val="00D45FD1"/>
    <w:rsid w:val="00D46096"/>
    <w:rsid w:val="00D461FF"/>
    <w:rsid w:val="00D46384"/>
    <w:rsid w:val="00D4648E"/>
    <w:rsid w:val="00D466C0"/>
    <w:rsid w:val="00D46AE2"/>
    <w:rsid w:val="00D46E0D"/>
    <w:rsid w:val="00D46EB8"/>
    <w:rsid w:val="00D46EC0"/>
    <w:rsid w:val="00D46F31"/>
    <w:rsid w:val="00D4700A"/>
    <w:rsid w:val="00D47020"/>
    <w:rsid w:val="00D4708D"/>
    <w:rsid w:val="00D471EB"/>
    <w:rsid w:val="00D47220"/>
    <w:rsid w:val="00D473F8"/>
    <w:rsid w:val="00D47475"/>
    <w:rsid w:val="00D4766A"/>
    <w:rsid w:val="00D476FC"/>
    <w:rsid w:val="00D477AC"/>
    <w:rsid w:val="00D47836"/>
    <w:rsid w:val="00D47A20"/>
    <w:rsid w:val="00D47B51"/>
    <w:rsid w:val="00D47BD0"/>
    <w:rsid w:val="00D47E0F"/>
    <w:rsid w:val="00D47FE8"/>
    <w:rsid w:val="00D5041B"/>
    <w:rsid w:val="00D50734"/>
    <w:rsid w:val="00D50979"/>
    <w:rsid w:val="00D50F9A"/>
    <w:rsid w:val="00D51001"/>
    <w:rsid w:val="00D5106A"/>
    <w:rsid w:val="00D51166"/>
    <w:rsid w:val="00D511F9"/>
    <w:rsid w:val="00D5148E"/>
    <w:rsid w:val="00D514E7"/>
    <w:rsid w:val="00D51768"/>
    <w:rsid w:val="00D517EB"/>
    <w:rsid w:val="00D5186C"/>
    <w:rsid w:val="00D5197A"/>
    <w:rsid w:val="00D519B0"/>
    <w:rsid w:val="00D51D11"/>
    <w:rsid w:val="00D52186"/>
    <w:rsid w:val="00D521CE"/>
    <w:rsid w:val="00D522FA"/>
    <w:rsid w:val="00D52982"/>
    <w:rsid w:val="00D529FC"/>
    <w:rsid w:val="00D52CF0"/>
    <w:rsid w:val="00D52EDF"/>
    <w:rsid w:val="00D52EE9"/>
    <w:rsid w:val="00D52F0A"/>
    <w:rsid w:val="00D52FD5"/>
    <w:rsid w:val="00D53087"/>
    <w:rsid w:val="00D53229"/>
    <w:rsid w:val="00D53296"/>
    <w:rsid w:val="00D534BC"/>
    <w:rsid w:val="00D5359F"/>
    <w:rsid w:val="00D537FB"/>
    <w:rsid w:val="00D539B4"/>
    <w:rsid w:val="00D53B0D"/>
    <w:rsid w:val="00D53B38"/>
    <w:rsid w:val="00D53C2C"/>
    <w:rsid w:val="00D53FB1"/>
    <w:rsid w:val="00D53FD4"/>
    <w:rsid w:val="00D5403F"/>
    <w:rsid w:val="00D54082"/>
    <w:rsid w:val="00D5420B"/>
    <w:rsid w:val="00D54363"/>
    <w:rsid w:val="00D5436A"/>
    <w:rsid w:val="00D54502"/>
    <w:rsid w:val="00D54742"/>
    <w:rsid w:val="00D547B5"/>
    <w:rsid w:val="00D548ED"/>
    <w:rsid w:val="00D549D3"/>
    <w:rsid w:val="00D54B68"/>
    <w:rsid w:val="00D54DD6"/>
    <w:rsid w:val="00D54E0D"/>
    <w:rsid w:val="00D54E52"/>
    <w:rsid w:val="00D54FF1"/>
    <w:rsid w:val="00D55150"/>
    <w:rsid w:val="00D5517D"/>
    <w:rsid w:val="00D55196"/>
    <w:rsid w:val="00D551CA"/>
    <w:rsid w:val="00D55332"/>
    <w:rsid w:val="00D55393"/>
    <w:rsid w:val="00D553AC"/>
    <w:rsid w:val="00D555AA"/>
    <w:rsid w:val="00D559B9"/>
    <w:rsid w:val="00D55D75"/>
    <w:rsid w:val="00D55ECB"/>
    <w:rsid w:val="00D56018"/>
    <w:rsid w:val="00D560D0"/>
    <w:rsid w:val="00D562EF"/>
    <w:rsid w:val="00D56368"/>
    <w:rsid w:val="00D565F2"/>
    <w:rsid w:val="00D56861"/>
    <w:rsid w:val="00D56BF1"/>
    <w:rsid w:val="00D56C9A"/>
    <w:rsid w:val="00D56E11"/>
    <w:rsid w:val="00D570B0"/>
    <w:rsid w:val="00D570FE"/>
    <w:rsid w:val="00D572FC"/>
    <w:rsid w:val="00D57633"/>
    <w:rsid w:val="00D57841"/>
    <w:rsid w:val="00D57DE0"/>
    <w:rsid w:val="00D57EB6"/>
    <w:rsid w:val="00D60185"/>
    <w:rsid w:val="00D601A6"/>
    <w:rsid w:val="00D602CE"/>
    <w:rsid w:val="00D602F8"/>
    <w:rsid w:val="00D60458"/>
    <w:rsid w:val="00D608EB"/>
    <w:rsid w:val="00D608F2"/>
    <w:rsid w:val="00D60B8C"/>
    <w:rsid w:val="00D60EAC"/>
    <w:rsid w:val="00D60F17"/>
    <w:rsid w:val="00D61132"/>
    <w:rsid w:val="00D61215"/>
    <w:rsid w:val="00D61545"/>
    <w:rsid w:val="00D61742"/>
    <w:rsid w:val="00D61842"/>
    <w:rsid w:val="00D619A6"/>
    <w:rsid w:val="00D61B71"/>
    <w:rsid w:val="00D61E2E"/>
    <w:rsid w:val="00D61E85"/>
    <w:rsid w:val="00D61EF7"/>
    <w:rsid w:val="00D6219B"/>
    <w:rsid w:val="00D6224E"/>
    <w:rsid w:val="00D6243E"/>
    <w:rsid w:val="00D6273A"/>
    <w:rsid w:val="00D627F8"/>
    <w:rsid w:val="00D62BC2"/>
    <w:rsid w:val="00D63073"/>
    <w:rsid w:val="00D63158"/>
    <w:rsid w:val="00D63174"/>
    <w:rsid w:val="00D6331F"/>
    <w:rsid w:val="00D636A9"/>
    <w:rsid w:val="00D637AC"/>
    <w:rsid w:val="00D638B7"/>
    <w:rsid w:val="00D63B5D"/>
    <w:rsid w:val="00D63BE3"/>
    <w:rsid w:val="00D63CD3"/>
    <w:rsid w:val="00D63DB3"/>
    <w:rsid w:val="00D63DCE"/>
    <w:rsid w:val="00D63EE4"/>
    <w:rsid w:val="00D63F7D"/>
    <w:rsid w:val="00D6400B"/>
    <w:rsid w:val="00D640D8"/>
    <w:rsid w:val="00D6411C"/>
    <w:rsid w:val="00D64381"/>
    <w:rsid w:val="00D644C9"/>
    <w:rsid w:val="00D64627"/>
    <w:rsid w:val="00D647AF"/>
    <w:rsid w:val="00D64832"/>
    <w:rsid w:val="00D64894"/>
    <w:rsid w:val="00D6492C"/>
    <w:rsid w:val="00D64ACF"/>
    <w:rsid w:val="00D64C90"/>
    <w:rsid w:val="00D64CA4"/>
    <w:rsid w:val="00D64F07"/>
    <w:rsid w:val="00D65086"/>
    <w:rsid w:val="00D65160"/>
    <w:rsid w:val="00D65176"/>
    <w:rsid w:val="00D65213"/>
    <w:rsid w:val="00D65517"/>
    <w:rsid w:val="00D6584B"/>
    <w:rsid w:val="00D662F2"/>
    <w:rsid w:val="00D66436"/>
    <w:rsid w:val="00D6646D"/>
    <w:rsid w:val="00D66761"/>
    <w:rsid w:val="00D66817"/>
    <w:rsid w:val="00D66E24"/>
    <w:rsid w:val="00D66FFC"/>
    <w:rsid w:val="00D6713F"/>
    <w:rsid w:val="00D671A8"/>
    <w:rsid w:val="00D67267"/>
    <w:rsid w:val="00D67414"/>
    <w:rsid w:val="00D675A6"/>
    <w:rsid w:val="00D67799"/>
    <w:rsid w:val="00D6787D"/>
    <w:rsid w:val="00D678FE"/>
    <w:rsid w:val="00D67990"/>
    <w:rsid w:val="00D679B7"/>
    <w:rsid w:val="00D67B75"/>
    <w:rsid w:val="00D67CB2"/>
    <w:rsid w:val="00D67DE5"/>
    <w:rsid w:val="00D7015A"/>
    <w:rsid w:val="00D705C4"/>
    <w:rsid w:val="00D70600"/>
    <w:rsid w:val="00D7070D"/>
    <w:rsid w:val="00D70760"/>
    <w:rsid w:val="00D707B7"/>
    <w:rsid w:val="00D70D29"/>
    <w:rsid w:val="00D70FF5"/>
    <w:rsid w:val="00D71297"/>
    <w:rsid w:val="00D717F3"/>
    <w:rsid w:val="00D71820"/>
    <w:rsid w:val="00D71860"/>
    <w:rsid w:val="00D71881"/>
    <w:rsid w:val="00D71B13"/>
    <w:rsid w:val="00D71D69"/>
    <w:rsid w:val="00D71F82"/>
    <w:rsid w:val="00D72382"/>
    <w:rsid w:val="00D723D0"/>
    <w:rsid w:val="00D72522"/>
    <w:rsid w:val="00D72702"/>
    <w:rsid w:val="00D72722"/>
    <w:rsid w:val="00D727D1"/>
    <w:rsid w:val="00D727ED"/>
    <w:rsid w:val="00D72CD3"/>
    <w:rsid w:val="00D7301D"/>
    <w:rsid w:val="00D7328F"/>
    <w:rsid w:val="00D733E5"/>
    <w:rsid w:val="00D73494"/>
    <w:rsid w:val="00D73640"/>
    <w:rsid w:val="00D73650"/>
    <w:rsid w:val="00D73662"/>
    <w:rsid w:val="00D73740"/>
    <w:rsid w:val="00D737B5"/>
    <w:rsid w:val="00D737DF"/>
    <w:rsid w:val="00D73825"/>
    <w:rsid w:val="00D73940"/>
    <w:rsid w:val="00D73A4A"/>
    <w:rsid w:val="00D73B85"/>
    <w:rsid w:val="00D73BE4"/>
    <w:rsid w:val="00D73BF6"/>
    <w:rsid w:val="00D73C98"/>
    <w:rsid w:val="00D7407F"/>
    <w:rsid w:val="00D740EE"/>
    <w:rsid w:val="00D74156"/>
    <w:rsid w:val="00D746C6"/>
    <w:rsid w:val="00D74819"/>
    <w:rsid w:val="00D748D0"/>
    <w:rsid w:val="00D748F6"/>
    <w:rsid w:val="00D74A23"/>
    <w:rsid w:val="00D74A28"/>
    <w:rsid w:val="00D74A63"/>
    <w:rsid w:val="00D74EE6"/>
    <w:rsid w:val="00D74F2D"/>
    <w:rsid w:val="00D75554"/>
    <w:rsid w:val="00D757C9"/>
    <w:rsid w:val="00D759F5"/>
    <w:rsid w:val="00D75B4E"/>
    <w:rsid w:val="00D75B51"/>
    <w:rsid w:val="00D75B7B"/>
    <w:rsid w:val="00D75BA7"/>
    <w:rsid w:val="00D75F7C"/>
    <w:rsid w:val="00D76080"/>
    <w:rsid w:val="00D760E2"/>
    <w:rsid w:val="00D7627D"/>
    <w:rsid w:val="00D76293"/>
    <w:rsid w:val="00D76305"/>
    <w:rsid w:val="00D7675E"/>
    <w:rsid w:val="00D76799"/>
    <w:rsid w:val="00D76A96"/>
    <w:rsid w:val="00D76ACB"/>
    <w:rsid w:val="00D76B91"/>
    <w:rsid w:val="00D76BC7"/>
    <w:rsid w:val="00D76C1A"/>
    <w:rsid w:val="00D76C4B"/>
    <w:rsid w:val="00D76D9B"/>
    <w:rsid w:val="00D77276"/>
    <w:rsid w:val="00D77277"/>
    <w:rsid w:val="00D77321"/>
    <w:rsid w:val="00D774C7"/>
    <w:rsid w:val="00D7754E"/>
    <w:rsid w:val="00D77873"/>
    <w:rsid w:val="00D77963"/>
    <w:rsid w:val="00D77994"/>
    <w:rsid w:val="00D77ACE"/>
    <w:rsid w:val="00D77BBD"/>
    <w:rsid w:val="00D800C5"/>
    <w:rsid w:val="00D8020E"/>
    <w:rsid w:val="00D80339"/>
    <w:rsid w:val="00D80619"/>
    <w:rsid w:val="00D806D7"/>
    <w:rsid w:val="00D80742"/>
    <w:rsid w:val="00D80A92"/>
    <w:rsid w:val="00D80CDD"/>
    <w:rsid w:val="00D80DFE"/>
    <w:rsid w:val="00D80FA4"/>
    <w:rsid w:val="00D81001"/>
    <w:rsid w:val="00D81020"/>
    <w:rsid w:val="00D81216"/>
    <w:rsid w:val="00D8136F"/>
    <w:rsid w:val="00D81534"/>
    <w:rsid w:val="00D8169D"/>
    <w:rsid w:val="00D816E4"/>
    <w:rsid w:val="00D8177A"/>
    <w:rsid w:val="00D81944"/>
    <w:rsid w:val="00D81D1D"/>
    <w:rsid w:val="00D81D2E"/>
    <w:rsid w:val="00D81F10"/>
    <w:rsid w:val="00D81F78"/>
    <w:rsid w:val="00D820A4"/>
    <w:rsid w:val="00D823C4"/>
    <w:rsid w:val="00D824EC"/>
    <w:rsid w:val="00D8254C"/>
    <w:rsid w:val="00D8280E"/>
    <w:rsid w:val="00D82828"/>
    <w:rsid w:val="00D8286F"/>
    <w:rsid w:val="00D828D9"/>
    <w:rsid w:val="00D82971"/>
    <w:rsid w:val="00D82C00"/>
    <w:rsid w:val="00D82C1F"/>
    <w:rsid w:val="00D82CCF"/>
    <w:rsid w:val="00D82D6C"/>
    <w:rsid w:val="00D82EBC"/>
    <w:rsid w:val="00D82FAA"/>
    <w:rsid w:val="00D83072"/>
    <w:rsid w:val="00D83235"/>
    <w:rsid w:val="00D83571"/>
    <w:rsid w:val="00D83644"/>
    <w:rsid w:val="00D83796"/>
    <w:rsid w:val="00D83ABE"/>
    <w:rsid w:val="00D83AFD"/>
    <w:rsid w:val="00D83BDD"/>
    <w:rsid w:val="00D83CB2"/>
    <w:rsid w:val="00D842C0"/>
    <w:rsid w:val="00D842F8"/>
    <w:rsid w:val="00D84892"/>
    <w:rsid w:val="00D84A0A"/>
    <w:rsid w:val="00D84A94"/>
    <w:rsid w:val="00D84CC1"/>
    <w:rsid w:val="00D84CDF"/>
    <w:rsid w:val="00D84D2E"/>
    <w:rsid w:val="00D84D58"/>
    <w:rsid w:val="00D84EDD"/>
    <w:rsid w:val="00D85020"/>
    <w:rsid w:val="00D853EA"/>
    <w:rsid w:val="00D853F3"/>
    <w:rsid w:val="00D8544A"/>
    <w:rsid w:val="00D8546F"/>
    <w:rsid w:val="00D85541"/>
    <w:rsid w:val="00D85544"/>
    <w:rsid w:val="00D8564C"/>
    <w:rsid w:val="00D85692"/>
    <w:rsid w:val="00D85731"/>
    <w:rsid w:val="00D858DF"/>
    <w:rsid w:val="00D85941"/>
    <w:rsid w:val="00D85C57"/>
    <w:rsid w:val="00D85D70"/>
    <w:rsid w:val="00D85EA7"/>
    <w:rsid w:val="00D86039"/>
    <w:rsid w:val="00D861E6"/>
    <w:rsid w:val="00D863B0"/>
    <w:rsid w:val="00D8651B"/>
    <w:rsid w:val="00D865C5"/>
    <w:rsid w:val="00D866A5"/>
    <w:rsid w:val="00D868DB"/>
    <w:rsid w:val="00D869E8"/>
    <w:rsid w:val="00D86A66"/>
    <w:rsid w:val="00D86A69"/>
    <w:rsid w:val="00D86D3D"/>
    <w:rsid w:val="00D86F21"/>
    <w:rsid w:val="00D8700F"/>
    <w:rsid w:val="00D8718F"/>
    <w:rsid w:val="00D87314"/>
    <w:rsid w:val="00D873ED"/>
    <w:rsid w:val="00D87618"/>
    <w:rsid w:val="00D87704"/>
    <w:rsid w:val="00D87975"/>
    <w:rsid w:val="00D87E78"/>
    <w:rsid w:val="00D87E9F"/>
    <w:rsid w:val="00D904C4"/>
    <w:rsid w:val="00D9057B"/>
    <w:rsid w:val="00D9074B"/>
    <w:rsid w:val="00D90860"/>
    <w:rsid w:val="00D90A09"/>
    <w:rsid w:val="00D90ADD"/>
    <w:rsid w:val="00D90B21"/>
    <w:rsid w:val="00D90DFD"/>
    <w:rsid w:val="00D90E7B"/>
    <w:rsid w:val="00D90EFC"/>
    <w:rsid w:val="00D90F8E"/>
    <w:rsid w:val="00D90F94"/>
    <w:rsid w:val="00D911A9"/>
    <w:rsid w:val="00D9128C"/>
    <w:rsid w:val="00D913B2"/>
    <w:rsid w:val="00D914A6"/>
    <w:rsid w:val="00D915F0"/>
    <w:rsid w:val="00D9178D"/>
    <w:rsid w:val="00D91896"/>
    <w:rsid w:val="00D91A92"/>
    <w:rsid w:val="00D91B2C"/>
    <w:rsid w:val="00D91BC4"/>
    <w:rsid w:val="00D92041"/>
    <w:rsid w:val="00D92258"/>
    <w:rsid w:val="00D92596"/>
    <w:rsid w:val="00D92627"/>
    <w:rsid w:val="00D92659"/>
    <w:rsid w:val="00D927D6"/>
    <w:rsid w:val="00D928CD"/>
    <w:rsid w:val="00D929EE"/>
    <w:rsid w:val="00D92A1F"/>
    <w:rsid w:val="00D92B35"/>
    <w:rsid w:val="00D92C2B"/>
    <w:rsid w:val="00D92D52"/>
    <w:rsid w:val="00D92E4D"/>
    <w:rsid w:val="00D92F29"/>
    <w:rsid w:val="00D9305A"/>
    <w:rsid w:val="00D93167"/>
    <w:rsid w:val="00D931E3"/>
    <w:rsid w:val="00D931FB"/>
    <w:rsid w:val="00D9347B"/>
    <w:rsid w:val="00D934F0"/>
    <w:rsid w:val="00D935EE"/>
    <w:rsid w:val="00D937C5"/>
    <w:rsid w:val="00D93AD9"/>
    <w:rsid w:val="00D93CA1"/>
    <w:rsid w:val="00D93D03"/>
    <w:rsid w:val="00D93DD7"/>
    <w:rsid w:val="00D940D4"/>
    <w:rsid w:val="00D940F8"/>
    <w:rsid w:val="00D942FF"/>
    <w:rsid w:val="00D943AC"/>
    <w:rsid w:val="00D944FD"/>
    <w:rsid w:val="00D94795"/>
    <w:rsid w:val="00D94A15"/>
    <w:rsid w:val="00D94BD8"/>
    <w:rsid w:val="00D94C4E"/>
    <w:rsid w:val="00D94CA4"/>
    <w:rsid w:val="00D94CB2"/>
    <w:rsid w:val="00D94D8E"/>
    <w:rsid w:val="00D95074"/>
    <w:rsid w:val="00D953AC"/>
    <w:rsid w:val="00D95580"/>
    <w:rsid w:val="00D95713"/>
    <w:rsid w:val="00D95850"/>
    <w:rsid w:val="00D95ABD"/>
    <w:rsid w:val="00D95B20"/>
    <w:rsid w:val="00D95B89"/>
    <w:rsid w:val="00D95D35"/>
    <w:rsid w:val="00D95E85"/>
    <w:rsid w:val="00D96142"/>
    <w:rsid w:val="00D963C1"/>
    <w:rsid w:val="00D96456"/>
    <w:rsid w:val="00D9685E"/>
    <w:rsid w:val="00D9686B"/>
    <w:rsid w:val="00D9687B"/>
    <w:rsid w:val="00D968C5"/>
    <w:rsid w:val="00D968EF"/>
    <w:rsid w:val="00D96A0D"/>
    <w:rsid w:val="00D96B7D"/>
    <w:rsid w:val="00D96B7F"/>
    <w:rsid w:val="00D96D34"/>
    <w:rsid w:val="00D96E4D"/>
    <w:rsid w:val="00D96E71"/>
    <w:rsid w:val="00D9710C"/>
    <w:rsid w:val="00D971CE"/>
    <w:rsid w:val="00D971E6"/>
    <w:rsid w:val="00D977C1"/>
    <w:rsid w:val="00D978BD"/>
    <w:rsid w:val="00D97A13"/>
    <w:rsid w:val="00D97A3D"/>
    <w:rsid w:val="00D97FA8"/>
    <w:rsid w:val="00DA0579"/>
    <w:rsid w:val="00DA0608"/>
    <w:rsid w:val="00DA0780"/>
    <w:rsid w:val="00DA0B75"/>
    <w:rsid w:val="00DA0C38"/>
    <w:rsid w:val="00DA0CC0"/>
    <w:rsid w:val="00DA0CD4"/>
    <w:rsid w:val="00DA0EBC"/>
    <w:rsid w:val="00DA0F7E"/>
    <w:rsid w:val="00DA1371"/>
    <w:rsid w:val="00DA1435"/>
    <w:rsid w:val="00DA1519"/>
    <w:rsid w:val="00DA1886"/>
    <w:rsid w:val="00DA1C95"/>
    <w:rsid w:val="00DA1D83"/>
    <w:rsid w:val="00DA25C7"/>
    <w:rsid w:val="00DA25E9"/>
    <w:rsid w:val="00DA2696"/>
    <w:rsid w:val="00DA26A5"/>
    <w:rsid w:val="00DA28A3"/>
    <w:rsid w:val="00DA2946"/>
    <w:rsid w:val="00DA2BE9"/>
    <w:rsid w:val="00DA2C5B"/>
    <w:rsid w:val="00DA2C7D"/>
    <w:rsid w:val="00DA2D2E"/>
    <w:rsid w:val="00DA332F"/>
    <w:rsid w:val="00DA34FE"/>
    <w:rsid w:val="00DA3578"/>
    <w:rsid w:val="00DA35FD"/>
    <w:rsid w:val="00DA36B3"/>
    <w:rsid w:val="00DA37BE"/>
    <w:rsid w:val="00DA3986"/>
    <w:rsid w:val="00DA3A10"/>
    <w:rsid w:val="00DA3A43"/>
    <w:rsid w:val="00DA3D3E"/>
    <w:rsid w:val="00DA3EE1"/>
    <w:rsid w:val="00DA4350"/>
    <w:rsid w:val="00DA4457"/>
    <w:rsid w:val="00DA487C"/>
    <w:rsid w:val="00DA4A36"/>
    <w:rsid w:val="00DA4BA1"/>
    <w:rsid w:val="00DA4C14"/>
    <w:rsid w:val="00DA4DBA"/>
    <w:rsid w:val="00DA4DF1"/>
    <w:rsid w:val="00DA4F24"/>
    <w:rsid w:val="00DA4F55"/>
    <w:rsid w:val="00DA54FB"/>
    <w:rsid w:val="00DA5742"/>
    <w:rsid w:val="00DA5829"/>
    <w:rsid w:val="00DA5947"/>
    <w:rsid w:val="00DA5B11"/>
    <w:rsid w:val="00DA5B72"/>
    <w:rsid w:val="00DA5BD7"/>
    <w:rsid w:val="00DA5E07"/>
    <w:rsid w:val="00DA5E72"/>
    <w:rsid w:val="00DA5EFC"/>
    <w:rsid w:val="00DA5F69"/>
    <w:rsid w:val="00DA5F6F"/>
    <w:rsid w:val="00DA6036"/>
    <w:rsid w:val="00DA603A"/>
    <w:rsid w:val="00DA6124"/>
    <w:rsid w:val="00DA62A3"/>
    <w:rsid w:val="00DA653A"/>
    <w:rsid w:val="00DA657F"/>
    <w:rsid w:val="00DA6706"/>
    <w:rsid w:val="00DA6AC2"/>
    <w:rsid w:val="00DA6ADE"/>
    <w:rsid w:val="00DA6C34"/>
    <w:rsid w:val="00DA6ED5"/>
    <w:rsid w:val="00DA6F72"/>
    <w:rsid w:val="00DA6FE9"/>
    <w:rsid w:val="00DA7077"/>
    <w:rsid w:val="00DA7262"/>
    <w:rsid w:val="00DA7391"/>
    <w:rsid w:val="00DA7596"/>
    <w:rsid w:val="00DA760E"/>
    <w:rsid w:val="00DA78B8"/>
    <w:rsid w:val="00DA78C1"/>
    <w:rsid w:val="00DA7912"/>
    <w:rsid w:val="00DA79B0"/>
    <w:rsid w:val="00DA7B63"/>
    <w:rsid w:val="00DA7BFE"/>
    <w:rsid w:val="00DA7CD3"/>
    <w:rsid w:val="00DB0033"/>
    <w:rsid w:val="00DB00D6"/>
    <w:rsid w:val="00DB0108"/>
    <w:rsid w:val="00DB0114"/>
    <w:rsid w:val="00DB018B"/>
    <w:rsid w:val="00DB02E8"/>
    <w:rsid w:val="00DB048F"/>
    <w:rsid w:val="00DB04A3"/>
    <w:rsid w:val="00DB06E9"/>
    <w:rsid w:val="00DB0877"/>
    <w:rsid w:val="00DB090F"/>
    <w:rsid w:val="00DB0930"/>
    <w:rsid w:val="00DB09A9"/>
    <w:rsid w:val="00DB0B2F"/>
    <w:rsid w:val="00DB0B58"/>
    <w:rsid w:val="00DB0C24"/>
    <w:rsid w:val="00DB0CEB"/>
    <w:rsid w:val="00DB1260"/>
    <w:rsid w:val="00DB140A"/>
    <w:rsid w:val="00DB144A"/>
    <w:rsid w:val="00DB151C"/>
    <w:rsid w:val="00DB161C"/>
    <w:rsid w:val="00DB16C1"/>
    <w:rsid w:val="00DB17CB"/>
    <w:rsid w:val="00DB1AA4"/>
    <w:rsid w:val="00DB1B99"/>
    <w:rsid w:val="00DB1E2C"/>
    <w:rsid w:val="00DB1EFF"/>
    <w:rsid w:val="00DB1F47"/>
    <w:rsid w:val="00DB1F62"/>
    <w:rsid w:val="00DB200F"/>
    <w:rsid w:val="00DB23A2"/>
    <w:rsid w:val="00DB255C"/>
    <w:rsid w:val="00DB2573"/>
    <w:rsid w:val="00DB26D4"/>
    <w:rsid w:val="00DB2932"/>
    <w:rsid w:val="00DB29AE"/>
    <w:rsid w:val="00DB29B3"/>
    <w:rsid w:val="00DB29CD"/>
    <w:rsid w:val="00DB2B03"/>
    <w:rsid w:val="00DB2B1F"/>
    <w:rsid w:val="00DB2B81"/>
    <w:rsid w:val="00DB2E5B"/>
    <w:rsid w:val="00DB2F5E"/>
    <w:rsid w:val="00DB3215"/>
    <w:rsid w:val="00DB332A"/>
    <w:rsid w:val="00DB33FB"/>
    <w:rsid w:val="00DB3785"/>
    <w:rsid w:val="00DB37DF"/>
    <w:rsid w:val="00DB3AC2"/>
    <w:rsid w:val="00DB3C4F"/>
    <w:rsid w:val="00DB3E2B"/>
    <w:rsid w:val="00DB3E86"/>
    <w:rsid w:val="00DB4177"/>
    <w:rsid w:val="00DB43FD"/>
    <w:rsid w:val="00DB445F"/>
    <w:rsid w:val="00DB44CE"/>
    <w:rsid w:val="00DB48DA"/>
    <w:rsid w:val="00DB4A0E"/>
    <w:rsid w:val="00DB4B20"/>
    <w:rsid w:val="00DB4CBA"/>
    <w:rsid w:val="00DB4EB7"/>
    <w:rsid w:val="00DB503A"/>
    <w:rsid w:val="00DB52E6"/>
    <w:rsid w:val="00DB538F"/>
    <w:rsid w:val="00DB5444"/>
    <w:rsid w:val="00DB55C3"/>
    <w:rsid w:val="00DB56B1"/>
    <w:rsid w:val="00DB56CF"/>
    <w:rsid w:val="00DB56FC"/>
    <w:rsid w:val="00DB59AF"/>
    <w:rsid w:val="00DB59CB"/>
    <w:rsid w:val="00DB5E77"/>
    <w:rsid w:val="00DB5FFD"/>
    <w:rsid w:val="00DB6557"/>
    <w:rsid w:val="00DB673A"/>
    <w:rsid w:val="00DB68F7"/>
    <w:rsid w:val="00DB694D"/>
    <w:rsid w:val="00DB6D8A"/>
    <w:rsid w:val="00DB6E11"/>
    <w:rsid w:val="00DB7782"/>
    <w:rsid w:val="00DB7806"/>
    <w:rsid w:val="00DB78A6"/>
    <w:rsid w:val="00DB78C1"/>
    <w:rsid w:val="00DB79AD"/>
    <w:rsid w:val="00DB7A0A"/>
    <w:rsid w:val="00DB7ABB"/>
    <w:rsid w:val="00DB7ACE"/>
    <w:rsid w:val="00DB7B78"/>
    <w:rsid w:val="00DB7C8D"/>
    <w:rsid w:val="00DB7FE4"/>
    <w:rsid w:val="00DC0257"/>
    <w:rsid w:val="00DC05A2"/>
    <w:rsid w:val="00DC0835"/>
    <w:rsid w:val="00DC090D"/>
    <w:rsid w:val="00DC0BBB"/>
    <w:rsid w:val="00DC0CBE"/>
    <w:rsid w:val="00DC0E48"/>
    <w:rsid w:val="00DC0EED"/>
    <w:rsid w:val="00DC1003"/>
    <w:rsid w:val="00DC1118"/>
    <w:rsid w:val="00DC11C6"/>
    <w:rsid w:val="00DC1244"/>
    <w:rsid w:val="00DC13B9"/>
    <w:rsid w:val="00DC148D"/>
    <w:rsid w:val="00DC15E7"/>
    <w:rsid w:val="00DC16D4"/>
    <w:rsid w:val="00DC1730"/>
    <w:rsid w:val="00DC1BC6"/>
    <w:rsid w:val="00DC1D48"/>
    <w:rsid w:val="00DC1D56"/>
    <w:rsid w:val="00DC1D79"/>
    <w:rsid w:val="00DC1D7E"/>
    <w:rsid w:val="00DC1E0A"/>
    <w:rsid w:val="00DC1E6D"/>
    <w:rsid w:val="00DC1F4D"/>
    <w:rsid w:val="00DC202F"/>
    <w:rsid w:val="00DC2287"/>
    <w:rsid w:val="00DC2362"/>
    <w:rsid w:val="00DC26CC"/>
    <w:rsid w:val="00DC293A"/>
    <w:rsid w:val="00DC29A8"/>
    <w:rsid w:val="00DC2AFE"/>
    <w:rsid w:val="00DC2C6A"/>
    <w:rsid w:val="00DC2EC2"/>
    <w:rsid w:val="00DC2F6A"/>
    <w:rsid w:val="00DC31CA"/>
    <w:rsid w:val="00DC32B1"/>
    <w:rsid w:val="00DC33C1"/>
    <w:rsid w:val="00DC33C6"/>
    <w:rsid w:val="00DC34A0"/>
    <w:rsid w:val="00DC34DF"/>
    <w:rsid w:val="00DC35D1"/>
    <w:rsid w:val="00DC36B7"/>
    <w:rsid w:val="00DC3813"/>
    <w:rsid w:val="00DC3908"/>
    <w:rsid w:val="00DC3BA0"/>
    <w:rsid w:val="00DC3CE2"/>
    <w:rsid w:val="00DC3D4C"/>
    <w:rsid w:val="00DC417C"/>
    <w:rsid w:val="00DC436D"/>
    <w:rsid w:val="00DC46EE"/>
    <w:rsid w:val="00DC47C3"/>
    <w:rsid w:val="00DC48B3"/>
    <w:rsid w:val="00DC49F8"/>
    <w:rsid w:val="00DC4D46"/>
    <w:rsid w:val="00DC4D85"/>
    <w:rsid w:val="00DC4F92"/>
    <w:rsid w:val="00DC4F99"/>
    <w:rsid w:val="00DC50AF"/>
    <w:rsid w:val="00DC53B1"/>
    <w:rsid w:val="00DC54B0"/>
    <w:rsid w:val="00DC54F9"/>
    <w:rsid w:val="00DC552B"/>
    <w:rsid w:val="00DC5531"/>
    <w:rsid w:val="00DC5589"/>
    <w:rsid w:val="00DC5744"/>
    <w:rsid w:val="00DC5784"/>
    <w:rsid w:val="00DC58E6"/>
    <w:rsid w:val="00DC5A07"/>
    <w:rsid w:val="00DC5AAD"/>
    <w:rsid w:val="00DC5C32"/>
    <w:rsid w:val="00DC5E23"/>
    <w:rsid w:val="00DC5EDC"/>
    <w:rsid w:val="00DC612F"/>
    <w:rsid w:val="00DC6223"/>
    <w:rsid w:val="00DC62A7"/>
    <w:rsid w:val="00DC6436"/>
    <w:rsid w:val="00DC6600"/>
    <w:rsid w:val="00DC6641"/>
    <w:rsid w:val="00DC66EF"/>
    <w:rsid w:val="00DC6AA3"/>
    <w:rsid w:val="00DC6B44"/>
    <w:rsid w:val="00DC729F"/>
    <w:rsid w:val="00DC73A9"/>
    <w:rsid w:val="00DC744B"/>
    <w:rsid w:val="00DC75A0"/>
    <w:rsid w:val="00DC7640"/>
    <w:rsid w:val="00DC77DC"/>
    <w:rsid w:val="00DC79A5"/>
    <w:rsid w:val="00DC7B2E"/>
    <w:rsid w:val="00DC7C5D"/>
    <w:rsid w:val="00DC7E64"/>
    <w:rsid w:val="00DC7ED4"/>
    <w:rsid w:val="00DD0039"/>
    <w:rsid w:val="00DD0204"/>
    <w:rsid w:val="00DD045B"/>
    <w:rsid w:val="00DD0730"/>
    <w:rsid w:val="00DD0939"/>
    <w:rsid w:val="00DD093F"/>
    <w:rsid w:val="00DD0A64"/>
    <w:rsid w:val="00DD0B2A"/>
    <w:rsid w:val="00DD0C01"/>
    <w:rsid w:val="00DD0C3B"/>
    <w:rsid w:val="00DD0C42"/>
    <w:rsid w:val="00DD0D55"/>
    <w:rsid w:val="00DD0E3B"/>
    <w:rsid w:val="00DD0EA3"/>
    <w:rsid w:val="00DD10D1"/>
    <w:rsid w:val="00DD10F7"/>
    <w:rsid w:val="00DD1574"/>
    <w:rsid w:val="00DD1954"/>
    <w:rsid w:val="00DD1AE6"/>
    <w:rsid w:val="00DD1D89"/>
    <w:rsid w:val="00DD1DBF"/>
    <w:rsid w:val="00DD1FB3"/>
    <w:rsid w:val="00DD2041"/>
    <w:rsid w:val="00DD2139"/>
    <w:rsid w:val="00DD2155"/>
    <w:rsid w:val="00DD22AF"/>
    <w:rsid w:val="00DD260F"/>
    <w:rsid w:val="00DD2A47"/>
    <w:rsid w:val="00DD2AF3"/>
    <w:rsid w:val="00DD2CAA"/>
    <w:rsid w:val="00DD2D1E"/>
    <w:rsid w:val="00DD2EBA"/>
    <w:rsid w:val="00DD2F08"/>
    <w:rsid w:val="00DD2FD2"/>
    <w:rsid w:val="00DD32C4"/>
    <w:rsid w:val="00DD3393"/>
    <w:rsid w:val="00DD341A"/>
    <w:rsid w:val="00DD348C"/>
    <w:rsid w:val="00DD34DD"/>
    <w:rsid w:val="00DD355B"/>
    <w:rsid w:val="00DD3649"/>
    <w:rsid w:val="00DD383F"/>
    <w:rsid w:val="00DD3947"/>
    <w:rsid w:val="00DD3A05"/>
    <w:rsid w:val="00DD3E9B"/>
    <w:rsid w:val="00DD3EFD"/>
    <w:rsid w:val="00DD3FC2"/>
    <w:rsid w:val="00DD4283"/>
    <w:rsid w:val="00DD42AA"/>
    <w:rsid w:val="00DD446C"/>
    <w:rsid w:val="00DD475B"/>
    <w:rsid w:val="00DD4893"/>
    <w:rsid w:val="00DD48D2"/>
    <w:rsid w:val="00DD4963"/>
    <w:rsid w:val="00DD49C0"/>
    <w:rsid w:val="00DD4AE6"/>
    <w:rsid w:val="00DD4B75"/>
    <w:rsid w:val="00DD4D0F"/>
    <w:rsid w:val="00DD51D0"/>
    <w:rsid w:val="00DD51FE"/>
    <w:rsid w:val="00DD52A3"/>
    <w:rsid w:val="00DD52F1"/>
    <w:rsid w:val="00DD535F"/>
    <w:rsid w:val="00DD5434"/>
    <w:rsid w:val="00DD553D"/>
    <w:rsid w:val="00DD555C"/>
    <w:rsid w:val="00DD566A"/>
    <w:rsid w:val="00DD5717"/>
    <w:rsid w:val="00DD58CF"/>
    <w:rsid w:val="00DD58E1"/>
    <w:rsid w:val="00DD5A70"/>
    <w:rsid w:val="00DD5C26"/>
    <w:rsid w:val="00DD5C92"/>
    <w:rsid w:val="00DD5DDF"/>
    <w:rsid w:val="00DD6028"/>
    <w:rsid w:val="00DD6395"/>
    <w:rsid w:val="00DD6670"/>
    <w:rsid w:val="00DD67E0"/>
    <w:rsid w:val="00DD6895"/>
    <w:rsid w:val="00DD695B"/>
    <w:rsid w:val="00DD6A00"/>
    <w:rsid w:val="00DD6B25"/>
    <w:rsid w:val="00DD6C98"/>
    <w:rsid w:val="00DD6E4D"/>
    <w:rsid w:val="00DD7094"/>
    <w:rsid w:val="00DD73C0"/>
    <w:rsid w:val="00DD765E"/>
    <w:rsid w:val="00DD793A"/>
    <w:rsid w:val="00DD7A76"/>
    <w:rsid w:val="00DD7C5B"/>
    <w:rsid w:val="00DD7CA7"/>
    <w:rsid w:val="00DD7D8D"/>
    <w:rsid w:val="00DD7DEA"/>
    <w:rsid w:val="00DD7E46"/>
    <w:rsid w:val="00DD7E8C"/>
    <w:rsid w:val="00DD7F56"/>
    <w:rsid w:val="00DD7F65"/>
    <w:rsid w:val="00DE002C"/>
    <w:rsid w:val="00DE0333"/>
    <w:rsid w:val="00DE045F"/>
    <w:rsid w:val="00DE0471"/>
    <w:rsid w:val="00DE056F"/>
    <w:rsid w:val="00DE06D8"/>
    <w:rsid w:val="00DE094A"/>
    <w:rsid w:val="00DE09FC"/>
    <w:rsid w:val="00DE0E65"/>
    <w:rsid w:val="00DE0F2E"/>
    <w:rsid w:val="00DE134D"/>
    <w:rsid w:val="00DE1439"/>
    <w:rsid w:val="00DE148B"/>
    <w:rsid w:val="00DE15A4"/>
    <w:rsid w:val="00DE15BE"/>
    <w:rsid w:val="00DE1883"/>
    <w:rsid w:val="00DE1B5B"/>
    <w:rsid w:val="00DE1BD2"/>
    <w:rsid w:val="00DE1D0A"/>
    <w:rsid w:val="00DE1D2A"/>
    <w:rsid w:val="00DE2355"/>
    <w:rsid w:val="00DE2493"/>
    <w:rsid w:val="00DE276A"/>
    <w:rsid w:val="00DE27B7"/>
    <w:rsid w:val="00DE284B"/>
    <w:rsid w:val="00DE28AC"/>
    <w:rsid w:val="00DE28BC"/>
    <w:rsid w:val="00DE2A63"/>
    <w:rsid w:val="00DE2AEC"/>
    <w:rsid w:val="00DE2F1D"/>
    <w:rsid w:val="00DE330B"/>
    <w:rsid w:val="00DE343A"/>
    <w:rsid w:val="00DE34E0"/>
    <w:rsid w:val="00DE361B"/>
    <w:rsid w:val="00DE36A8"/>
    <w:rsid w:val="00DE36D2"/>
    <w:rsid w:val="00DE3727"/>
    <w:rsid w:val="00DE3910"/>
    <w:rsid w:val="00DE3CA9"/>
    <w:rsid w:val="00DE3EA7"/>
    <w:rsid w:val="00DE3EBC"/>
    <w:rsid w:val="00DE3F0B"/>
    <w:rsid w:val="00DE4010"/>
    <w:rsid w:val="00DE407B"/>
    <w:rsid w:val="00DE40C6"/>
    <w:rsid w:val="00DE44A6"/>
    <w:rsid w:val="00DE45DA"/>
    <w:rsid w:val="00DE4608"/>
    <w:rsid w:val="00DE48CC"/>
    <w:rsid w:val="00DE4980"/>
    <w:rsid w:val="00DE4DBA"/>
    <w:rsid w:val="00DE515A"/>
    <w:rsid w:val="00DE5249"/>
    <w:rsid w:val="00DE53B6"/>
    <w:rsid w:val="00DE573C"/>
    <w:rsid w:val="00DE5940"/>
    <w:rsid w:val="00DE59F2"/>
    <w:rsid w:val="00DE5CA9"/>
    <w:rsid w:val="00DE5E3F"/>
    <w:rsid w:val="00DE6039"/>
    <w:rsid w:val="00DE63ED"/>
    <w:rsid w:val="00DE652E"/>
    <w:rsid w:val="00DE65CE"/>
    <w:rsid w:val="00DE6681"/>
    <w:rsid w:val="00DE681C"/>
    <w:rsid w:val="00DE6890"/>
    <w:rsid w:val="00DE6930"/>
    <w:rsid w:val="00DE69D9"/>
    <w:rsid w:val="00DE6AB8"/>
    <w:rsid w:val="00DE6B7C"/>
    <w:rsid w:val="00DE6BB3"/>
    <w:rsid w:val="00DE6BD6"/>
    <w:rsid w:val="00DE6CB5"/>
    <w:rsid w:val="00DE6CF3"/>
    <w:rsid w:val="00DE6FAE"/>
    <w:rsid w:val="00DE70CB"/>
    <w:rsid w:val="00DE70D4"/>
    <w:rsid w:val="00DE71B3"/>
    <w:rsid w:val="00DE71E7"/>
    <w:rsid w:val="00DE71F3"/>
    <w:rsid w:val="00DE75FD"/>
    <w:rsid w:val="00DE7974"/>
    <w:rsid w:val="00DE7983"/>
    <w:rsid w:val="00DE7A10"/>
    <w:rsid w:val="00DE7BEC"/>
    <w:rsid w:val="00DE7DE1"/>
    <w:rsid w:val="00DE7F0D"/>
    <w:rsid w:val="00DE7F5E"/>
    <w:rsid w:val="00DF006F"/>
    <w:rsid w:val="00DF04C6"/>
    <w:rsid w:val="00DF08AD"/>
    <w:rsid w:val="00DF0B3E"/>
    <w:rsid w:val="00DF0C6C"/>
    <w:rsid w:val="00DF0C7F"/>
    <w:rsid w:val="00DF0CB9"/>
    <w:rsid w:val="00DF0E08"/>
    <w:rsid w:val="00DF120D"/>
    <w:rsid w:val="00DF13ED"/>
    <w:rsid w:val="00DF14D5"/>
    <w:rsid w:val="00DF1682"/>
    <w:rsid w:val="00DF1E20"/>
    <w:rsid w:val="00DF23DB"/>
    <w:rsid w:val="00DF23EE"/>
    <w:rsid w:val="00DF243B"/>
    <w:rsid w:val="00DF24EC"/>
    <w:rsid w:val="00DF2586"/>
    <w:rsid w:val="00DF273A"/>
    <w:rsid w:val="00DF2ACD"/>
    <w:rsid w:val="00DF2AE6"/>
    <w:rsid w:val="00DF2B0A"/>
    <w:rsid w:val="00DF2B96"/>
    <w:rsid w:val="00DF2E7D"/>
    <w:rsid w:val="00DF2F70"/>
    <w:rsid w:val="00DF3203"/>
    <w:rsid w:val="00DF32C6"/>
    <w:rsid w:val="00DF360E"/>
    <w:rsid w:val="00DF3670"/>
    <w:rsid w:val="00DF37EB"/>
    <w:rsid w:val="00DF3993"/>
    <w:rsid w:val="00DF39A3"/>
    <w:rsid w:val="00DF3CAC"/>
    <w:rsid w:val="00DF3D61"/>
    <w:rsid w:val="00DF4017"/>
    <w:rsid w:val="00DF4239"/>
    <w:rsid w:val="00DF426F"/>
    <w:rsid w:val="00DF445A"/>
    <w:rsid w:val="00DF44C5"/>
    <w:rsid w:val="00DF4518"/>
    <w:rsid w:val="00DF46A4"/>
    <w:rsid w:val="00DF4700"/>
    <w:rsid w:val="00DF4970"/>
    <w:rsid w:val="00DF4A84"/>
    <w:rsid w:val="00DF4CF2"/>
    <w:rsid w:val="00DF4E85"/>
    <w:rsid w:val="00DF4F0E"/>
    <w:rsid w:val="00DF50A2"/>
    <w:rsid w:val="00DF51B5"/>
    <w:rsid w:val="00DF540E"/>
    <w:rsid w:val="00DF556A"/>
    <w:rsid w:val="00DF5792"/>
    <w:rsid w:val="00DF5F2D"/>
    <w:rsid w:val="00DF6144"/>
    <w:rsid w:val="00DF6184"/>
    <w:rsid w:val="00DF634E"/>
    <w:rsid w:val="00DF65EF"/>
    <w:rsid w:val="00DF6654"/>
    <w:rsid w:val="00DF68CC"/>
    <w:rsid w:val="00DF68F1"/>
    <w:rsid w:val="00DF690C"/>
    <w:rsid w:val="00DF6945"/>
    <w:rsid w:val="00DF69F2"/>
    <w:rsid w:val="00DF6B53"/>
    <w:rsid w:val="00DF6B69"/>
    <w:rsid w:val="00DF6D15"/>
    <w:rsid w:val="00DF6DC7"/>
    <w:rsid w:val="00DF6E1B"/>
    <w:rsid w:val="00DF6E99"/>
    <w:rsid w:val="00DF6EDD"/>
    <w:rsid w:val="00DF70C0"/>
    <w:rsid w:val="00DF7227"/>
    <w:rsid w:val="00DF7844"/>
    <w:rsid w:val="00DF7871"/>
    <w:rsid w:val="00DF793D"/>
    <w:rsid w:val="00DF7A14"/>
    <w:rsid w:val="00DF7AFF"/>
    <w:rsid w:val="00DF7E7C"/>
    <w:rsid w:val="00E001FF"/>
    <w:rsid w:val="00E0053E"/>
    <w:rsid w:val="00E00AF8"/>
    <w:rsid w:val="00E00DCC"/>
    <w:rsid w:val="00E00EB6"/>
    <w:rsid w:val="00E01634"/>
    <w:rsid w:val="00E016EC"/>
    <w:rsid w:val="00E017EF"/>
    <w:rsid w:val="00E01B4B"/>
    <w:rsid w:val="00E01D14"/>
    <w:rsid w:val="00E01F49"/>
    <w:rsid w:val="00E022A3"/>
    <w:rsid w:val="00E02533"/>
    <w:rsid w:val="00E02543"/>
    <w:rsid w:val="00E02795"/>
    <w:rsid w:val="00E027D9"/>
    <w:rsid w:val="00E027DE"/>
    <w:rsid w:val="00E0280B"/>
    <w:rsid w:val="00E0283D"/>
    <w:rsid w:val="00E02B25"/>
    <w:rsid w:val="00E02B4C"/>
    <w:rsid w:val="00E02D18"/>
    <w:rsid w:val="00E02D43"/>
    <w:rsid w:val="00E02D6F"/>
    <w:rsid w:val="00E02E51"/>
    <w:rsid w:val="00E03065"/>
    <w:rsid w:val="00E03079"/>
    <w:rsid w:val="00E0358A"/>
    <w:rsid w:val="00E0376E"/>
    <w:rsid w:val="00E037AE"/>
    <w:rsid w:val="00E03B12"/>
    <w:rsid w:val="00E03CFF"/>
    <w:rsid w:val="00E03EA1"/>
    <w:rsid w:val="00E03EFA"/>
    <w:rsid w:val="00E03F04"/>
    <w:rsid w:val="00E03F12"/>
    <w:rsid w:val="00E03F4B"/>
    <w:rsid w:val="00E041CA"/>
    <w:rsid w:val="00E045D0"/>
    <w:rsid w:val="00E046EE"/>
    <w:rsid w:val="00E0473C"/>
    <w:rsid w:val="00E04999"/>
    <w:rsid w:val="00E04A45"/>
    <w:rsid w:val="00E04B43"/>
    <w:rsid w:val="00E04D93"/>
    <w:rsid w:val="00E04E5D"/>
    <w:rsid w:val="00E04F58"/>
    <w:rsid w:val="00E05014"/>
    <w:rsid w:val="00E050CF"/>
    <w:rsid w:val="00E05275"/>
    <w:rsid w:val="00E05290"/>
    <w:rsid w:val="00E052FF"/>
    <w:rsid w:val="00E056F8"/>
    <w:rsid w:val="00E05982"/>
    <w:rsid w:val="00E05C72"/>
    <w:rsid w:val="00E05E15"/>
    <w:rsid w:val="00E061C5"/>
    <w:rsid w:val="00E062DB"/>
    <w:rsid w:val="00E06338"/>
    <w:rsid w:val="00E06364"/>
    <w:rsid w:val="00E06539"/>
    <w:rsid w:val="00E0667E"/>
    <w:rsid w:val="00E067A0"/>
    <w:rsid w:val="00E06BCC"/>
    <w:rsid w:val="00E06C91"/>
    <w:rsid w:val="00E06D0B"/>
    <w:rsid w:val="00E06D75"/>
    <w:rsid w:val="00E06E50"/>
    <w:rsid w:val="00E0701B"/>
    <w:rsid w:val="00E07207"/>
    <w:rsid w:val="00E07256"/>
    <w:rsid w:val="00E07354"/>
    <w:rsid w:val="00E07495"/>
    <w:rsid w:val="00E076FA"/>
    <w:rsid w:val="00E1024A"/>
    <w:rsid w:val="00E104AD"/>
    <w:rsid w:val="00E10571"/>
    <w:rsid w:val="00E10595"/>
    <w:rsid w:val="00E105B4"/>
    <w:rsid w:val="00E105E0"/>
    <w:rsid w:val="00E107D0"/>
    <w:rsid w:val="00E10B4E"/>
    <w:rsid w:val="00E10C26"/>
    <w:rsid w:val="00E10C82"/>
    <w:rsid w:val="00E10CC7"/>
    <w:rsid w:val="00E1117C"/>
    <w:rsid w:val="00E1120F"/>
    <w:rsid w:val="00E11282"/>
    <w:rsid w:val="00E112F1"/>
    <w:rsid w:val="00E11386"/>
    <w:rsid w:val="00E11440"/>
    <w:rsid w:val="00E114D2"/>
    <w:rsid w:val="00E11549"/>
    <w:rsid w:val="00E118D9"/>
    <w:rsid w:val="00E1195A"/>
    <w:rsid w:val="00E1198B"/>
    <w:rsid w:val="00E11BE1"/>
    <w:rsid w:val="00E11C30"/>
    <w:rsid w:val="00E11CC1"/>
    <w:rsid w:val="00E11D62"/>
    <w:rsid w:val="00E11EFD"/>
    <w:rsid w:val="00E120ED"/>
    <w:rsid w:val="00E12152"/>
    <w:rsid w:val="00E121E2"/>
    <w:rsid w:val="00E121E7"/>
    <w:rsid w:val="00E1258F"/>
    <w:rsid w:val="00E12645"/>
    <w:rsid w:val="00E127B2"/>
    <w:rsid w:val="00E127FA"/>
    <w:rsid w:val="00E128A6"/>
    <w:rsid w:val="00E1297E"/>
    <w:rsid w:val="00E1298E"/>
    <w:rsid w:val="00E12A6D"/>
    <w:rsid w:val="00E12BAC"/>
    <w:rsid w:val="00E12C45"/>
    <w:rsid w:val="00E130CB"/>
    <w:rsid w:val="00E13355"/>
    <w:rsid w:val="00E13735"/>
    <w:rsid w:val="00E13B3C"/>
    <w:rsid w:val="00E13C57"/>
    <w:rsid w:val="00E13D12"/>
    <w:rsid w:val="00E13E4B"/>
    <w:rsid w:val="00E13F6B"/>
    <w:rsid w:val="00E13FC1"/>
    <w:rsid w:val="00E1410D"/>
    <w:rsid w:val="00E14154"/>
    <w:rsid w:val="00E14236"/>
    <w:rsid w:val="00E142FA"/>
    <w:rsid w:val="00E1445E"/>
    <w:rsid w:val="00E14687"/>
    <w:rsid w:val="00E14845"/>
    <w:rsid w:val="00E1497F"/>
    <w:rsid w:val="00E1498D"/>
    <w:rsid w:val="00E14E21"/>
    <w:rsid w:val="00E14F16"/>
    <w:rsid w:val="00E155D5"/>
    <w:rsid w:val="00E15782"/>
    <w:rsid w:val="00E15911"/>
    <w:rsid w:val="00E15E77"/>
    <w:rsid w:val="00E15FCA"/>
    <w:rsid w:val="00E16286"/>
    <w:rsid w:val="00E1658A"/>
    <w:rsid w:val="00E16690"/>
    <w:rsid w:val="00E16AD3"/>
    <w:rsid w:val="00E16B31"/>
    <w:rsid w:val="00E16EFF"/>
    <w:rsid w:val="00E17105"/>
    <w:rsid w:val="00E17134"/>
    <w:rsid w:val="00E17137"/>
    <w:rsid w:val="00E172E7"/>
    <w:rsid w:val="00E17404"/>
    <w:rsid w:val="00E174FC"/>
    <w:rsid w:val="00E17551"/>
    <w:rsid w:val="00E17870"/>
    <w:rsid w:val="00E204F1"/>
    <w:rsid w:val="00E20567"/>
    <w:rsid w:val="00E20610"/>
    <w:rsid w:val="00E206A5"/>
    <w:rsid w:val="00E20875"/>
    <w:rsid w:val="00E20ABB"/>
    <w:rsid w:val="00E20E70"/>
    <w:rsid w:val="00E20ED7"/>
    <w:rsid w:val="00E20EFD"/>
    <w:rsid w:val="00E2162C"/>
    <w:rsid w:val="00E2162E"/>
    <w:rsid w:val="00E21715"/>
    <w:rsid w:val="00E21957"/>
    <w:rsid w:val="00E2196E"/>
    <w:rsid w:val="00E21C6E"/>
    <w:rsid w:val="00E22081"/>
    <w:rsid w:val="00E22598"/>
    <w:rsid w:val="00E227FA"/>
    <w:rsid w:val="00E22CDF"/>
    <w:rsid w:val="00E22DA5"/>
    <w:rsid w:val="00E22F57"/>
    <w:rsid w:val="00E22FBC"/>
    <w:rsid w:val="00E2350F"/>
    <w:rsid w:val="00E237CA"/>
    <w:rsid w:val="00E23826"/>
    <w:rsid w:val="00E239D7"/>
    <w:rsid w:val="00E23B1D"/>
    <w:rsid w:val="00E23D3D"/>
    <w:rsid w:val="00E24067"/>
    <w:rsid w:val="00E24176"/>
    <w:rsid w:val="00E2430D"/>
    <w:rsid w:val="00E243E2"/>
    <w:rsid w:val="00E2478C"/>
    <w:rsid w:val="00E24A6B"/>
    <w:rsid w:val="00E24C85"/>
    <w:rsid w:val="00E24DC0"/>
    <w:rsid w:val="00E253B9"/>
    <w:rsid w:val="00E2556E"/>
    <w:rsid w:val="00E25A69"/>
    <w:rsid w:val="00E25AA6"/>
    <w:rsid w:val="00E25B2A"/>
    <w:rsid w:val="00E25BCD"/>
    <w:rsid w:val="00E25C3E"/>
    <w:rsid w:val="00E25D74"/>
    <w:rsid w:val="00E25D81"/>
    <w:rsid w:val="00E25E8E"/>
    <w:rsid w:val="00E262BC"/>
    <w:rsid w:val="00E26398"/>
    <w:rsid w:val="00E263C4"/>
    <w:rsid w:val="00E264A6"/>
    <w:rsid w:val="00E266A3"/>
    <w:rsid w:val="00E26A74"/>
    <w:rsid w:val="00E26B17"/>
    <w:rsid w:val="00E272D0"/>
    <w:rsid w:val="00E274DB"/>
    <w:rsid w:val="00E27528"/>
    <w:rsid w:val="00E275F9"/>
    <w:rsid w:val="00E27767"/>
    <w:rsid w:val="00E27855"/>
    <w:rsid w:val="00E27B24"/>
    <w:rsid w:val="00E27CB8"/>
    <w:rsid w:val="00E27DB9"/>
    <w:rsid w:val="00E30019"/>
    <w:rsid w:val="00E3013C"/>
    <w:rsid w:val="00E30150"/>
    <w:rsid w:val="00E301ED"/>
    <w:rsid w:val="00E3028D"/>
    <w:rsid w:val="00E3044E"/>
    <w:rsid w:val="00E30635"/>
    <w:rsid w:val="00E308D7"/>
    <w:rsid w:val="00E30C8C"/>
    <w:rsid w:val="00E30CC2"/>
    <w:rsid w:val="00E30CED"/>
    <w:rsid w:val="00E30E16"/>
    <w:rsid w:val="00E30EDC"/>
    <w:rsid w:val="00E30EF4"/>
    <w:rsid w:val="00E31228"/>
    <w:rsid w:val="00E3146D"/>
    <w:rsid w:val="00E31518"/>
    <w:rsid w:val="00E315A2"/>
    <w:rsid w:val="00E31614"/>
    <w:rsid w:val="00E316DA"/>
    <w:rsid w:val="00E3184D"/>
    <w:rsid w:val="00E31C18"/>
    <w:rsid w:val="00E31D89"/>
    <w:rsid w:val="00E31E6D"/>
    <w:rsid w:val="00E31E80"/>
    <w:rsid w:val="00E32277"/>
    <w:rsid w:val="00E322C2"/>
    <w:rsid w:val="00E32307"/>
    <w:rsid w:val="00E323EF"/>
    <w:rsid w:val="00E32650"/>
    <w:rsid w:val="00E32A04"/>
    <w:rsid w:val="00E32BA0"/>
    <w:rsid w:val="00E32BC9"/>
    <w:rsid w:val="00E32C20"/>
    <w:rsid w:val="00E32DE8"/>
    <w:rsid w:val="00E32EEE"/>
    <w:rsid w:val="00E32F32"/>
    <w:rsid w:val="00E32F7C"/>
    <w:rsid w:val="00E3306D"/>
    <w:rsid w:val="00E334C9"/>
    <w:rsid w:val="00E335F0"/>
    <w:rsid w:val="00E3374B"/>
    <w:rsid w:val="00E337E2"/>
    <w:rsid w:val="00E33978"/>
    <w:rsid w:val="00E339E2"/>
    <w:rsid w:val="00E33B59"/>
    <w:rsid w:val="00E33C9B"/>
    <w:rsid w:val="00E33DA6"/>
    <w:rsid w:val="00E33EC0"/>
    <w:rsid w:val="00E34157"/>
    <w:rsid w:val="00E342CE"/>
    <w:rsid w:val="00E34471"/>
    <w:rsid w:val="00E345F3"/>
    <w:rsid w:val="00E3460D"/>
    <w:rsid w:val="00E34689"/>
    <w:rsid w:val="00E347AD"/>
    <w:rsid w:val="00E348E1"/>
    <w:rsid w:val="00E34A34"/>
    <w:rsid w:val="00E34A43"/>
    <w:rsid w:val="00E34B58"/>
    <w:rsid w:val="00E34C9E"/>
    <w:rsid w:val="00E34CFB"/>
    <w:rsid w:val="00E34E02"/>
    <w:rsid w:val="00E34F3B"/>
    <w:rsid w:val="00E3546C"/>
    <w:rsid w:val="00E35488"/>
    <w:rsid w:val="00E35612"/>
    <w:rsid w:val="00E356EE"/>
    <w:rsid w:val="00E35880"/>
    <w:rsid w:val="00E35B91"/>
    <w:rsid w:val="00E35C32"/>
    <w:rsid w:val="00E35FE9"/>
    <w:rsid w:val="00E361A3"/>
    <w:rsid w:val="00E361E4"/>
    <w:rsid w:val="00E36282"/>
    <w:rsid w:val="00E36495"/>
    <w:rsid w:val="00E36653"/>
    <w:rsid w:val="00E3673E"/>
    <w:rsid w:val="00E36819"/>
    <w:rsid w:val="00E36843"/>
    <w:rsid w:val="00E36955"/>
    <w:rsid w:val="00E369EC"/>
    <w:rsid w:val="00E36A28"/>
    <w:rsid w:val="00E36B4A"/>
    <w:rsid w:val="00E36C8F"/>
    <w:rsid w:val="00E36D30"/>
    <w:rsid w:val="00E36E15"/>
    <w:rsid w:val="00E36F02"/>
    <w:rsid w:val="00E37262"/>
    <w:rsid w:val="00E37360"/>
    <w:rsid w:val="00E3737A"/>
    <w:rsid w:val="00E3765D"/>
    <w:rsid w:val="00E37794"/>
    <w:rsid w:val="00E37964"/>
    <w:rsid w:val="00E37997"/>
    <w:rsid w:val="00E37A83"/>
    <w:rsid w:val="00E37AA4"/>
    <w:rsid w:val="00E37EF1"/>
    <w:rsid w:val="00E4022D"/>
    <w:rsid w:val="00E40529"/>
    <w:rsid w:val="00E405D1"/>
    <w:rsid w:val="00E406AD"/>
    <w:rsid w:val="00E4080B"/>
    <w:rsid w:val="00E4091A"/>
    <w:rsid w:val="00E4097B"/>
    <w:rsid w:val="00E409E4"/>
    <w:rsid w:val="00E409FD"/>
    <w:rsid w:val="00E40D81"/>
    <w:rsid w:val="00E41296"/>
    <w:rsid w:val="00E4145B"/>
    <w:rsid w:val="00E41536"/>
    <w:rsid w:val="00E41627"/>
    <w:rsid w:val="00E41781"/>
    <w:rsid w:val="00E41912"/>
    <w:rsid w:val="00E41A14"/>
    <w:rsid w:val="00E41E19"/>
    <w:rsid w:val="00E4203D"/>
    <w:rsid w:val="00E4216D"/>
    <w:rsid w:val="00E42299"/>
    <w:rsid w:val="00E4233E"/>
    <w:rsid w:val="00E42488"/>
    <w:rsid w:val="00E4290B"/>
    <w:rsid w:val="00E4294E"/>
    <w:rsid w:val="00E42AF0"/>
    <w:rsid w:val="00E42F8D"/>
    <w:rsid w:val="00E4317D"/>
    <w:rsid w:val="00E43446"/>
    <w:rsid w:val="00E434B4"/>
    <w:rsid w:val="00E436AA"/>
    <w:rsid w:val="00E43749"/>
    <w:rsid w:val="00E43798"/>
    <w:rsid w:val="00E439A1"/>
    <w:rsid w:val="00E439E8"/>
    <w:rsid w:val="00E43C2D"/>
    <w:rsid w:val="00E43D79"/>
    <w:rsid w:val="00E43DB9"/>
    <w:rsid w:val="00E43E94"/>
    <w:rsid w:val="00E43F12"/>
    <w:rsid w:val="00E44060"/>
    <w:rsid w:val="00E441AC"/>
    <w:rsid w:val="00E447C9"/>
    <w:rsid w:val="00E4487D"/>
    <w:rsid w:val="00E448FE"/>
    <w:rsid w:val="00E449E8"/>
    <w:rsid w:val="00E44A3D"/>
    <w:rsid w:val="00E44C12"/>
    <w:rsid w:val="00E44CA6"/>
    <w:rsid w:val="00E44E1D"/>
    <w:rsid w:val="00E44E5A"/>
    <w:rsid w:val="00E44E83"/>
    <w:rsid w:val="00E45324"/>
    <w:rsid w:val="00E45339"/>
    <w:rsid w:val="00E45AAE"/>
    <w:rsid w:val="00E45AC7"/>
    <w:rsid w:val="00E45B3E"/>
    <w:rsid w:val="00E45BA5"/>
    <w:rsid w:val="00E45E04"/>
    <w:rsid w:val="00E45E0A"/>
    <w:rsid w:val="00E45E42"/>
    <w:rsid w:val="00E45E51"/>
    <w:rsid w:val="00E4613E"/>
    <w:rsid w:val="00E46249"/>
    <w:rsid w:val="00E463D5"/>
    <w:rsid w:val="00E46443"/>
    <w:rsid w:val="00E46546"/>
    <w:rsid w:val="00E4675E"/>
    <w:rsid w:val="00E46D69"/>
    <w:rsid w:val="00E46FDB"/>
    <w:rsid w:val="00E47126"/>
    <w:rsid w:val="00E47134"/>
    <w:rsid w:val="00E47149"/>
    <w:rsid w:val="00E471F0"/>
    <w:rsid w:val="00E47969"/>
    <w:rsid w:val="00E47CD6"/>
    <w:rsid w:val="00E47D52"/>
    <w:rsid w:val="00E47FDB"/>
    <w:rsid w:val="00E5018B"/>
    <w:rsid w:val="00E50217"/>
    <w:rsid w:val="00E502BC"/>
    <w:rsid w:val="00E50362"/>
    <w:rsid w:val="00E5057C"/>
    <w:rsid w:val="00E505C7"/>
    <w:rsid w:val="00E507B6"/>
    <w:rsid w:val="00E508F8"/>
    <w:rsid w:val="00E50C88"/>
    <w:rsid w:val="00E50CEA"/>
    <w:rsid w:val="00E50D8F"/>
    <w:rsid w:val="00E50E78"/>
    <w:rsid w:val="00E50E91"/>
    <w:rsid w:val="00E50E9B"/>
    <w:rsid w:val="00E50F2E"/>
    <w:rsid w:val="00E50F60"/>
    <w:rsid w:val="00E50F69"/>
    <w:rsid w:val="00E5106B"/>
    <w:rsid w:val="00E5124D"/>
    <w:rsid w:val="00E51372"/>
    <w:rsid w:val="00E516B0"/>
    <w:rsid w:val="00E51B68"/>
    <w:rsid w:val="00E51C2F"/>
    <w:rsid w:val="00E51CE1"/>
    <w:rsid w:val="00E51E9E"/>
    <w:rsid w:val="00E51FFB"/>
    <w:rsid w:val="00E52219"/>
    <w:rsid w:val="00E5253B"/>
    <w:rsid w:val="00E5277F"/>
    <w:rsid w:val="00E527E8"/>
    <w:rsid w:val="00E5293E"/>
    <w:rsid w:val="00E52C02"/>
    <w:rsid w:val="00E52D72"/>
    <w:rsid w:val="00E52F93"/>
    <w:rsid w:val="00E533D9"/>
    <w:rsid w:val="00E533DE"/>
    <w:rsid w:val="00E533FE"/>
    <w:rsid w:val="00E53537"/>
    <w:rsid w:val="00E53590"/>
    <w:rsid w:val="00E536C2"/>
    <w:rsid w:val="00E53860"/>
    <w:rsid w:val="00E538EB"/>
    <w:rsid w:val="00E5392B"/>
    <w:rsid w:val="00E539E8"/>
    <w:rsid w:val="00E53C5D"/>
    <w:rsid w:val="00E53D04"/>
    <w:rsid w:val="00E53DA0"/>
    <w:rsid w:val="00E540E9"/>
    <w:rsid w:val="00E54208"/>
    <w:rsid w:val="00E54269"/>
    <w:rsid w:val="00E54365"/>
    <w:rsid w:val="00E54536"/>
    <w:rsid w:val="00E5476F"/>
    <w:rsid w:val="00E547F7"/>
    <w:rsid w:val="00E5489B"/>
    <w:rsid w:val="00E549FF"/>
    <w:rsid w:val="00E54A6D"/>
    <w:rsid w:val="00E54BA6"/>
    <w:rsid w:val="00E54BF0"/>
    <w:rsid w:val="00E54C8B"/>
    <w:rsid w:val="00E54FC9"/>
    <w:rsid w:val="00E5519A"/>
    <w:rsid w:val="00E551DC"/>
    <w:rsid w:val="00E551E8"/>
    <w:rsid w:val="00E5522F"/>
    <w:rsid w:val="00E554BB"/>
    <w:rsid w:val="00E554CA"/>
    <w:rsid w:val="00E554E4"/>
    <w:rsid w:val="00E5561D"/>
    <w:rsid w:val="00E55678"/>
    <w:rsid w:val="00E5589D"/>
    <w:rsid w:val="00E55A28"/>
    <w:rsid w:val="00E55BBD"/>
    <w:rsid w:val="00E55D4C"/>
    <w:rsid w:val="00E55E29"/>
    <w:rsid w:val="00E55ECD"/>
    <w:rsid w:val="00E560F6"/>
    <w:rsid w:val="00E562A4"/>
    <w:rsid w:val="00E564C6"/>
    <w:rsid w:val="00E56621"/>
    <w:rsid w:val="00E56760"/>
    <w:rsid w:val="00E5688C"/>
    <w:rsid w:val="00E56A00"/>
    <w:rsid w:val="00E56AD4"/>
    <w:rsid w:val="00E56CAC"/>
    <w:rsid w:val="00E56ED5"/>
    <w:rsid w:val="00E57339"/>
    <w:rsid w:val="00E57387"/>
    <w:rsid w:val="00E573E4"/>
    <w:rsid w:val="00E57421"/>
    <w:rsid w:val="00E57593"/>
    <w:rsid w:val="00E577C5"/>
    <w:rsid w:val="00E5782D"/>
    <w:rsid w:val="00E5789C"/>
    <w:rsid w:val="00E57B39"/>
    <w:rsid w:val="00E57D17"/>
    <w:rsid w:val="00E57F9C"/>
    <w:rsid w:val="00E601CD"/>
    <w:rsid w:val="00E606B4"/>
    <w:rsid w:val="00E607B0"/>
    <w:rsid w:val="00E60B47"/>
    <w:rsid w:val="00E61071"/>
    <w:rsid w:val="00E61083"/>
    <w:rsid w:val="00E610B6"/>
    <w:rsid w:val="00E611F4"/>
    <w:rsid w:val="00E61242"/>
    <w:rsid w:val="00E61657"/>
    <w:rsid w:val="00E61784"/>
    <w:rsid w:val="00E6180E"/>
    <w:rsid w:val="00E6184B"/>
    <w:rsid w:val="00E61A48"/>
    <w:rsid w:val="00E61BC8"/>
    <w:rsid w:val="00E61CE4"/>
    <w:rsid w:val="00E61DC4"/>
    <w:rsid w:val="00E61F32"/>
    <w:rsid w:val="00E61FFB"/>
    <w:rsid w:val="00E62051"/>
    <w:rsid w:val="00E62210"/>
    <w:rsid w:val="00E6223D"/>
    <w:rsid w:val="00E62262"/>
    <w:rsid w:val="00E62726"/>
    <w:rsid w:val="00E6289D"/>
    <w:rsid w:val="00E628E0"/>
    <w:rsid w:val="00E62962"/>
    <w:rsid w:val="00E62976"/>
    <w:rsid w:val="00E62A6F"/>
    <w:rsid w:val="00E62A7F"/>
    <w:rsid w:val="00E62AC7"/>
    <w:rsid w:val="00E62B47"/>
    <w:rsid w:val="00E63167"/>
    <w:rsid w:val="00E631EB"/>
    <w:rsid w:val="00E63270"/>
    <w:rsid w:val="00E6375A"/>
    <w:rsid w:val="00E6376C"/>
    <w:rsid w:val="00E638D3"/>
    <w:rsid w:val="00E63912"/>
    <w:rsid w:val="00E63A44"/>
    <w:rsid w:val="00E63ABF"/>
    <w:rsid w:val="00E63BD5"/>
    <w:rsid w:val="00E63DE5"/>
    <w:rsid w:val="00E63FE5"/>
    <w:rsid w:val="00E64655"/>
    <w:rsid w:val="00E64733"/>
    <w:rsid w:val="00E64764"/>
    <w:rsid w:val="00E6478B"/>
    <w:rsid w:val="00E64977"/>
    <w:rsid w:val="00E64A0E"/>
    <w:rsid w:val="00E64B44"/>
    <w:rsid w:val="00E64CA8"/>
    <w:rsid w:val="00E64F28"/>
    <w:rsid w:val="00E64F6F"/>
    <w:rsid w:val="00E6510E"/>
    <w:rsid w:val="00E65126"/>
    <w:rsid w:val="00E6515C"/>
    <w:rsid w:val="00E65324"/>
    <w:rsid w:val="00E6549A"/>
    <w:rsid w:val="00E65748"/>
    <w:rsid w:val="00E658A8"/>
    <w:rsid w:val="00E658AD"/>
    <w:rsid w:val="00E65A6B"/>
    <w:rsid w:val="00E65B1C"/>
    <w:rsid w:val="00E65C02"/>
    <w:rsid w:val="00E65D80"/>
    <w:rsid w:val="00E66038"/>
    <w:rsid w:val="00E662C5"/>
    <w:rsid w:val="00E66636"/>
    <w:rsid w:val="00E666D8"/>
    <w:rsid w:val="00E666D9"/>
    <w:rsid w:val="00E66742"/>
    <w:rsid w:val="00E669B9"/>
    <w:rsid w:val="00E66DC5"/>
    <w:rsid w:val="00E6711A"/>
    <w:rsid w:val="00E67165"/>
    <w:rsid w:val="00E671AB"/>
    <w:rsid w:val="00E6723C"/>
    <w:rsid w:val="00E67307"/>
    <w:rsid w:val="00E673A7"/>
    <w:rsid w:val="00E673B3"/>
    <w:rsid w:val="00E67608"/>
    <w:rsid w:val="00E676A5"/>
    <w:rsid w:val="00E6772A"/>
    <w:rsid w:val="00E67750"/>
    <w:rsid w:val="00E679ED"/>
    <w:rsid w:val="00E67A84"/>
    <w:rsid w:val="00E67EAF"/>
    <w:rsid w:val="00E67F0D"/>
    <w:rsid w:val="00E67F52"/>
    <w:rsid w:val="00E70028"/>
    <w:rsid w:val="00E70057"/>
    <w:rsid w:val="00E70544"/>
    <w:rsid w:val="00E7061F"/>
    <w:rsid w:val="00E70827"/>
    <w:rsid w:val="00E708A5"/>
    <w:rsid w:val="00E708CA"/>
    <w:rsid w:val="00E708E7"/>
    <w:rsid w:val="00E708F7"/>
    <w:rsid w:val="00E70A6F"/>
    <w:rsid w:val="00E70B85"/>
    <w:rsid w:val="00E70CFF"/>
    <w:rsid w:val="00E70D40"/>
    <w:rsid w:val="00E71134"/>
    <w:rsid w:val="00E714D0"/>
    <w:rsid w:val="00E715CB"/>
    <w:rsid w:val="00E716A7"/>
    <w:rsid w:val="00E716D1"/>
    <w:rsid w:val="00E717B1"/>
    <w:rsid w:val="00E717B5"/>
    <w:rsid w:val="00E717C6"/>
    <w:rsid w:val="00E718A8"/>
    <w:rsid w:val="00E71CF6"/>
    <w:rsid w:val="00E71D61"/>
    <w:rsid w:val="00E71F33"/>
    <w:rsid w:val="00E71F39"/>
    <w:rsid w:val="00E71F64"/>
    <w:rsid w:val="00E72389"/>
    <w:rsid w:val="00E723D0"/>
    <w:rsid w:val="00E7254D"/>
    <w:rsid w:val="00E7267F"/>
    <w:rsid w:val="00E72888"/>
    <w:rsid w:val="00E7291B"/>
    <w:rsid w:val="00E72A0E"/>
    <w:rsid w:val="00E72C16"/>
    <w:rsid w:val="00E72D78"/>
    <w:rsid w:val="00E733FD"/>
    <w:rsid w:val="00E7344E"/>
    <w:rsid w:val="00E7352E"/>
    <w:rsid w:val="00E73709"/>
    <w:rsid w:val="00E7375F"/>
    <w:rsid w:val="00E738F1"/>
    <w:rsid w:val="00E73930"/>
    <w:rsid w:val="00E73A6D"/>
    <w:rsid w:val="00E73DED"/>
    <w:rsid w:val="00E73ED4"/>
    <w:rsid w:val="00E73EDB"/>
    <w:rsid w:val="00E73EDC"/>
    <w:rsid w:val="00E73F1D"/>
    <w:rsid w:val="00E740A8"/>
    <w:rsid w:val="00E74339"/>
    <w:rsid w:val="00E74543"/>
    <w:rsid w:val="00E747AA"/>
    <w:rsid w:val="00E748DE"/>
    <w:rsid w:val="00E74974"/>
    <w:rsid w:val="00E74A4B"/>
    <w:rsid w:val="00E74B60"/>
    <w:rsid w:val="00E74C60"/>
    <w:rsid w:val="00E74D05"/>
    <w:rsid w:val="00E74D85"/>
    <w:rsid w:val="00E74EF8"/>
    <w:rsid w:val="00E750AD"/>
    <w:rsid w:val="00E75125"/>
    <w:rsid w:val="00E7517D"/>
    <w:rsid w:val="00E756E5"/>
    <w:rsid w:val="00E75903"/>
    <w:rsid w:val="00E75DE8"/>
    <w:rsid w:val="00E75F77"/>
    <w:rsid w:val="00E75FE7"/>
    <w:rsid w:val="00E762C0"/>
    <w:rsid w:val="00E766A3"/>
    <w:rsid w:val="00E767DA"/>
    <w:rsid w:val="00E76C1F"/>
    <w:rsid w:val="00E76D01"/>
    <w:rsid w:val="00E76D11"/>
    <w:rsid w:val="00E76E41"/>
    <w:rsid w:val="00E76FA9"/>
    <w:rsid w:val="00E77086"/>
    <w:rsid w:val="00E771C0"/>
    <w:rsid w:val="00E7724F"/>
    <w:rsid w:val="00E772FA"/>
    <w:rsid w:val="00E774CF"/>
    <w:rsid w:val="00E7753D"/>
    <w:rsid w:val="00E776DB"/>
    <w:rsid w:val="00E77721"/>
    <w:rsid w:val="00E77837"/>
    <w:rsid w:val="00E7798A"/>
    <w:rsid w:val="00E77B22"/>
    <w:rsid w:val="00E77D83"/>
    <w:rsid w:val="00E77D99"/>
    <w:rsid w:val="00E77DAF"/>
    <w:rsid w:val="00E77E73"/>
    <w:rsid w:val="00E8009B"/>
    <w:rsid w:val="00E80284"/>
    <w:rsid w:val="00E804F8"/>
    <w:rsid w:val="00E80573"/>
    <w:rsid w:val="00E80707"/>
    <w:rsid w:val="00E8085E"/>
    <w:rsid w:val="00E80A0D"/>
    <w:rsid w:val="00E80BA8"/>
    <w:rsid w:val="00E80CE5"/>
    <w:rsid w:val="00E80D12"/>
    <w:rsid w:val="00E81115"/>
    <w:rsid w:val="00E81197"/>
    <w:rsid w:val="00E812B8"/>
    <w:rsid w:val="00E81534"/>
    <w:rsid w:val="00E815C3"/>
    <w:rsid w:val="00E8167F"/>
    <w:rsid w:val="00E8168E"/>
    <w:rsid w:val="00E81818"/>
    <w:rsid w:val="00E81BC1"/>
    <w:rsid w:val="00E81C58"/>
    <w:rsid w:val="00E81C9E"/>
    <w:rsid w:val="00E81CFC"/>
    <w:rsid w:val="00E81E82"/>
    <w:rsid w:val="00E821C2"/>
    <w:rsid w:val="00E82358"/>
    <w:rsid w:val="00E823F3"/>
    <w:rsid w:val="00E82513"/>
    <w:rsid w:val="00E82620"/>
    <w:rsid w:val="00E82912"/>
    <w:rsid w:val="00E8309A"/>
    <w:rsid w:val="00E830BE"/>
    <w:rsid w:val="00E832B7"/>
    <w:rsid w:val="00E83349"/>
    <w:rsid w:val="00E836A5"/>
    <w:rsid w:val="00E83875"/>
    <w:rsid w:val="00E83AA3"/>
    <w:rsid w:val="00E83CA8"/>
    <w:rsid w:val="00E8439D"/>
    <w:rsid w:val="00E845DB"/>
    <w:rsid w:val="00E846B8"/>
    <w:rsid w:val="00E8482C"/>
    <w:rsid w:val="00E8486C"/>
    <w:rsid w:val="00E84895"/>
    <w:rsid w:val="00E848A6"/>
    <w:rsid w:val="00E848A7"/>
    <w:rsid w:val="00E84F23"/>
    <w:rsid w:val="00E85055"/>
    <w:rsid w:val="00E851E1"/>
    <w:rsid w:val="00E8525B"/>
    <w:rsid w:val="00E853F9"/>
    <w:rsid w:val="00E85420"/>
    <w:rsid w:val="00E85544"/>
    <w:rsid w:val="00E85792"/>
    <w:rsid w:val="00E857A0"/>
    <w:rsid w:val="00E857D7"/>
    <w:rsid w:val="00E85958"/>
    <w:rsid w:val="00E85C42"/>
    <w:rsid w:val="00E85C5B"/>
    <w:rsid w:val="00E85DE7"/>
    <w:rsid w:val="00E85E61"/>
    <w:rsid w:val="00E85EAC"/>
    <w:rsid w:val="00E85F16"/>
    <w:rsid w:val="00E85F5B"/>
    <w:rsid w:val="00E8616A"/>
    <w:rsid w:val="00E868C4"/>
    <w:rsid w:val="00E86C0D"/>
    <w:rsid w:val="00E86DC1"/>
    <w:rsid w:val="00E86F1D"/>
    <w:rsid w:val="00E86F33"/>
    <w:rsid w:val="00E86FB6"/>
    <w:rsid w:val="00E870BD"/>
    <w:rsid w:val="00E8714A"/>
    <w:rsid w:val="00E87240"/>
    <w:rsid w:val="00E8741F"/>
    <w:rsid w:val="00E8756A"/>
    <w:rsid w:val="00E87625"/>
    <w:rsid w:val="00E87B47"/>
    <w:rsid w:val="00E87BB3"/>
    <w:rsid w:val="00E87D64"/>
    <w:rsid w:val="00E87F17"/>
    <w:rsid w:val="00E90091"/>
    <w:rsid w:val="00E900EA"/>
    <w:rsid w:val="00E90177"/>
    <w:rsid w:val="00E90284"/>
    <w:rsid w:val="00E903BF"/>
    <w:rsid w:val="00E903FA"/>
    <w:rsid w:val="00E90518"/>
    <w:rsid w:val="00E905A1"/>
    <w:rsid w:val="00E90679"/>
    <w:rsid w:val="00E906BB"/>
    <w:rsid w:val="00E907FE"/>
    <w:rsid w:val="00E9092E"/>
    <w:rsid w:val="00E90D76"/>
    <w:rsid w:val="00E9102E"/>
    <w:rsid w:val="00E9107F"/>
    <w:rsid w:val="00E9109C"/>
    <w:rsid w:val="00E913A7"/>
    <w:rsid w:val="00E91525"/>
    <w:rsid w:val="00E9157D"/>
    <w:rsid w:val="00E915E3"/>
    <w:rsid w:val="00E91610"/>
    <w:rsid w:val="00E91652"/>
    <w:rsid w:val="00E916D5"/>
    <w:rsid w:val="00E918DF"/>
    <w:rsid w:val="00E91E6F"/>
    <w:rsid w:val="00E92076"/>
    <w:rsid w:val="00E92135"/>
    <w:rsid w:val="00E9216F"/>
    <w:rsid w:val="00E92390"/>
    <w:rsid w:val="00E92433"/>
    <w:rsid w:val="00E92463"/>
    <w:rsid w:val="00E92466"/>
    <w:rsid w:val="00E9270A"/>
    <w:rsid w:val="00E92E48"/>
    <w:rsid w:val="00E92E60"/>
    <w:rsid w:val="00E92ECC"/>
    <w:rsid w:val="00E930C6"/>
    <w:rsid w:val="00E93173"/>
    <w:rsid w:val="00E93350"/>
    <w:rsid w:val="00E933AF"/>
    <w:rsid w:val="00E93442"/>
    <w:rsid w:val="00E9345F"/>
    <w:rsid w:val="00E936C8"/>
    <w:rsid w:val="00E938FC"/>
    <w:rsid w:val="00E93A2A"/>
    <w:rsid w:val="00E93AA6"/>
    <w:rsid w:val="00E93ECE"/>
    <w:rsid w:val="00E943A1"/>
    <w:rsid w:val="00E943B5"/>
    <w:rsid w:val="00E94622"/>
    <w:rsid w:val="00E94737"/>
    <w:rsid w:val="00E94849"/>
    <w:rsid w:val="00E94853"/>
    <w:rsid w:val="00E94D96"/>
    <w:rsid w:val="00E94EB9"/>
    <w:rsid w:val="00E950F3"/>
    <w:rsid w:val="00E953BE"/>
    <w:rsid w:val="00E953EA"/>
    <w:rsid w:val="00E954B1"/>
    <w:rsid w:val="00E955C9"/>
    <w:rsid w:val="00E9567A"/>
    <w:rsid w:val="00E9573D"/>
    <w:rsid w:val="00E9600D"/>
    <w:rsid w:val="00E9608B"/>
    <w:rsid w:val="00E961C8"/>
    <w:rsid w:val="00E964D9"/>
    <w:rsid w:val="00E966E4"/>
    <w:rsid w:val="00E96772"/>
    <w:rsid w:val="00E96CD8"/>
    <w:rsid w:val="00E96D23"/>
    <w:rsid w:val="00E96DF9"/>
    <w:rsid w:val="00E96F18"/>
    <w:rsid w:val="00E970C7"/>
    <w:rsid w:val="00E971EF"/>
    <w:rsid w:val="00E972E1"/>
    <w:rsid w:val="00E974CD"/>
    <w:rsid w:val="00E97662"/>
    <w:rsid w:val="00E9786D"/>
    <w:rsid w:val="00E9795B"/>
    <w:rsid w:val="00E97AA7"/>
    <w:rsid w:val="00E97B68"/>
    <w:rsid w:val="00E97C04"/>
    <w:rsid w:val="00E97C85"/>
    <w:rsid w:val="00E97CEF"/>
    <w:rsid w:val="00E97EED"/>
    <w:rsid w:val="00EA0188"/>
    <w:rsid w:val="00EA0350"/>
    <w:rsid w:val="00EA03BA"/>
    <w:rsid w:val="00EA06EA"/>
    <w:rsid w:val="00EA09DF"/>
    <w:rsid w:val="00EA0A62"/>
    <w:rsid w:val="00EA0B50"/>
    <w:rsid w:val="00EA0CF0"/>
    <w:rsid w:val="00EA0EBA"/>
    <w:rsid w:val="00EA1190"/>
    <w:rsid w:val="00EA11F1"/>
    <w:rsid w:val="00EA155F"/>
    <w:rsid w:val="00EA15B7"/>
    <w:rsid w:val="00EA1AF4"/>
    <w:rsid w:val="00EA1C06"/>
    <w:rsid w:val="00EA1D73"/>
    <w:rsid w:val="00EA1E24"/>
    <w:rsid w:val="00EA1F5F"/>
    <w:rsid w:val="00EA22F8"/>
    <w:rsid w:val="00EA26B5"/>
    <w:rsid w:val="00EA29A9"/>
    <w:rsid w:val="00EA30B6"/>
    <w:rsid w:val="00EA32BF"/>
    <w:rsid w:val="00EA3312"/>
    <w:rsid w:val="00EA337A"/>
    <w:rsid w:val="00EA34F6"/>
    <w:rsid w:val="00EA3521"/>
    <w:rsid w:val="00EA3705"/>
    <w:rsid w:val="00EA3904"/>
    <w:rsid w:val="00EA3F24"/>
    <w:rsid w:val="00EA4077"/>
    <w:rsid w:val="00EA40F6"/>
    <w:rsid w:val="00EA4172"/>
    <w:rsid w:val="00EA462D"/>
    <w:rsid w:val="00EA46E7"/>
    <w:rsid w:val="00EA47FC"/>
    <w:rsid w:val="00EA4829"/>
    <w:rsid w:val="00EA495A"/>
    <w:rsid w:val="00EA4A6D"/>
    <w:rsid w:val="00EA4DC2"/>
    <w:rsid w:val="00EA4F0B"/>
    <w:rsid w:val="00EA514F"/>
    <w:rsid w:val="00EA535B"/>
    <w:rsid w:val="00EA539A"/>
    <w:rsid w:val="00EA561E"/>
    <w:rsid w:val="00EA57BC"/>
    <w:rsid w:val="00EA5A28"/>
    <w:rsid w:val="00EA5D3F"/>
    <w:rsid w:val="00EA5D47"/>
    <w:rsid w:val="00EA5D55"/>
    <w:rsid w:val="00EA60E4"/>
    <w:rsid w:val="00EA6229"/>
    <w:rsid w:val="00EA627D"/>
    <w:rsid w:val="00EA6317"/>
    <w:rsid w:val="00EA6831"/>
    <w:rsid w:val="00EA68E7"/>
    <w:rsid w:val="00EA6C4E"/>
    <w:rsid w:val="00EA6EE5"/>
    <w:rsid w:val="00EA7266"/>
    <w:rsid w:val="00EA72A2"/>
    <w:rsid w:val="00EA734F"/>
    <w:rsid w:val="00EA7646"/>
    <w:rsid w:val="00EA768D"/>
    <w:rsid w:val="00EA776A"/>
    <w:rsid w:val="00EA7908"/>
    <w:rsid w:val="00EA7A46"/>
    <w:rsid w:val="00EA7C1B"/>
    <w:rsid w:val="00EA7DAC"/>
    <w:rsid w:val="00EA7F6A"/>
    <w:rsid w:val="00EB002E"/>
    <w:rsid w:val="00EB00A8"/>
    <w:rsid w:val="00EB0420"/>
    <w:rsid w:val="00EB0529"/>
    <w:rsid w:val="00EB07E1"/>
    <w:rsid w:val="00EB07EF"/>
    <w:rsid w:val="00EB0FAE"/>
    <w:rsid w:val="00EB1078"/>
    <w:rsid w:val="00EB117B"/>
    <w:rsid w:val="00EB11F0"/>
    <w:rsid w:val="00EB12BC"/>
    <w:rsid w:val="00EB1319"/>
    <w:rsid w:val="00EB1324"/>
    <w:rsid w:val="00EB166C"/>
    <w:rsid w:val="00EB16A0"/>
    <w:rsid w:val="00EB1770"/>
    <w:rsid w:val="00EB191D"/>
    <w:rsid w:val="00EB193A"/>
    <w:rsid w:val="00EB1978"/>
    <w:rsid w:val="00EB19D1"/>
    <w:rsid w:val="00EB1A66"/>
    <w:rsid w:val="00EB1D00"/>
    <w:rsid w:val="00EB1FBA"/>
    <w:rsid w:val="00EB21C6"/>
    <w:rsid w:val="00EB220B"/>
    <w:rsid w:val="00EB2226"/>
    <w:rsid w:val="00EB2307"/>
    <w:rsid w:val="00EB2493"/>
    <w:rsid w:val="00EB2523"/>
    <w:rsid w:val="00EB25D4"/>
    <w:rsid w:val="00EB270A"/>
    <w:rsid w:val="00EB28F6"/>
    <w:rsid w:val="00EB29BB"/>
    <w:rsid w:val="00EB29E3"/>
    <w:rsid w:val="00EB2B10"/>
    <w:rsid w:val="00EB2C01"/>
    <w:rsid w:val="00EB2C28"/>
    <w:rsid w:val="00EB3266"/>
    <w:rsid w:val="00EB32E1"/>
    <w:rsid w:val="00EB3593"/>
    <w:rsid w:val="00EB365B"/>
    <w:rsid w:val="00EB38C5"/>
    <w:rsid w:val="00EB38E3"/>
    <w:rsid w:val="00EB3973"/>
    <w:rsid w:val="00EB3CA1"/>
    <w:rsid w:val="00EB3DBB"/>
    <w:rsid w:val="00EB3E93"/>
    <w:rsid w:val="00EB4075"/>
    <w:rsid w:val="00EB4153"/>
    <w:rsid w:val="00EB42A0"/>
    <w:rsid w:val="00EB42DC"/>
    <w:rsid w:val="00EB42EB"/>
    <w:rsid w:val="00EB43B3"/>
    <w:rsid w:val="00EB43CE"/>
    <w:rsid w:val="00EB4487"/>
    <w:rsid w:val="00EB4567"/>
    <w:rsid w:val="00EB4844"/>
    <w:rsid w:val="00EB4AED"/>
    <w:rsid w:val="00EB4B02"/>
    <w:rsid w:val="00EB4C1F"/>
    <w:rsid w:val="00EB4D6F"/>
    <w:rsid w:val="00EB4F0A"/>
    <w:rsid w:val="00EB50E6"/>
    <w:rsid w:val="00EB52CA"/>
    <w:rsid w:val="00EB5577"/>
    <w:rsid w:val="00EB567F"/>
    <w:rsid w:val="00EB57B6"/>
    <w:rsid w:val="00EB5841"/>
    <w:rsid w:val="00EB58C9"/>
    <w:rsid w:val="00EB5BF7"/>
    <w:rsid w:val="00EB5C54"/>
    <w:rsid w:val="00EB5C65"/>
    <w:rsid w:val="00EB6256"/>
    <w:rsid w:val="00EB632A"/>
    <w:rsid w:val="00EB639A"/>
    <w:rsid w:val="00EB6419"/>
    <w:rsid w:val="00EB6424"/>
    <w:rsid w:val="00EB655A"/>
    <w:rsid w:val="00EB6648"/>
    <w:rsid w:val="00EB670D"/>
    <w:rsid w:val="00EB68AB"/>
    <w:rsid w:val="00EB68E9"/>
    <w:rsid w:val="00EB6AB3"/>
    <w:rsid w:val="00EB6ABD"/>
    <w:rsid w:val="00EB6C34"/>
    <w:rsid w:val="00EB6D05"/>
    <w:rsid w:val="00EB6E93"/>
    <w:rsid w:val="00EB6EAA"/>
    <w:rsid w:val="00EB70F0"/>
    <w:rsid w:val="00EB7122"/>
    <w:rsid w:val="00EB724A"/>
    <w:rsid w:val="00EB75D4"/>
    <w:rsid w:val="00EB75DC"/>
    <w:rsid w:val="00EB75E1"/>
    <w:rsid w:val="00EB7726"/>
    <w:rsid w:val="00EB773F"/>
    <w:rsid w:val="00EB77A4"/>
    <w:rsid w:val="00EB79B8"/>
    <w:rsid w:val="00EB7BA0"/>
    <w:rsid w:val="00EB7CBB"/>
    <w:rsid w:val="00EB7D46"/>
    <w:rsid w:val="00EB7E4C"/>
    <w:rsid w:val="00EC02A9"/>
    <w:rsid w:val="00EC03DE"/>
    <w:rsid w:val="00EC047E"/>
    <w:rsid w:val="00EC06E4"/>
    <w:rsid w:val="00EC0800"/>
    <w:rsid w:val="00EC080B"/>
    <w:rsid w:val="00EC09BD"/>
    <w:rsid w:val="00EC09ED"/>
    <w:rsid w:val="00EC0A3F"/>
    <w:rsid w:val="00EC0B3D"/>
    <w:rsid w:val="00EC0B6C"/>
    <w:rsid w:val="00EC0BFC"/>
    <w:rsid w:val="00EC0DAB"/>
    <w:rsid w:val="00EC11D0"/>
    <w:rsid w:val="00EC13B9"/>
    <w:rsid w:val="00EC16AB"/>
    <w:rsid w:val="00EC1909"/>
    <w:rsid w:val="00EC1A5F"/>
    <w:rsid w:val="00EC1B2C"/>
    <w:rsid w:val="00EC1BD2"/>
    <w:rsid w:val="00EC1DBD"/>
    <w:rsid w:val="00EC1EA5"/>
    <w:rsid w:val="00EC2181"/>
    <w:rsid w:val="00EC2420"/>
    <w:rsid w:val="00EC263B"/>
    <w:rsid w:val="00EC2746"/>
    <w:rsid w:val="00EC275B"/>
    <w:rsid w:val="00EC2790"/>
    <w:rsid w:val="00EC284A"/>
    <w:rsid w:val="00EC29F9"/>
    <w:rsid w:val="00EC2B6D"/>
    <w:rsid w:val="00EC2BEA"/>
    <w:rsid w:val="00EC2D61"/>
    <w:rsid w:val="00EC2D8D"/>
    <w:rsid w:val="00EC2EA9"/>
    <w:rsid w:val="00EC3986"/>
    <w:rsid w:val="00EC3DC7"/>
    <w:rsid w:val="00EC3DF2"/>
    <w:rsid w:val="00EC3FFD"/>
    <w:rsid w:val="00EC433E"/>
    <w:rsid w:val="00EC43B8"/>
    <w:rsid w:val="00EC4829"/>
    <w:rsid w:val="00EC4D74"/>
    <w:rsid w:val="00EC5191"/>
    <w:rsid w:val="00EC526F"/>
    <w:rsid w:val="00EC53B0"/>
    <w:rsid w:val="00EC5449"/>
    <w:rsid w:val="00EC5484"/>
    <w:rsid w:val="00EC558D"/>
    <w:rsid w:val="00EC55FC"/>
    <w:rsid w:val="00EC5705"/>
    <w:rsid w:val="00EC58B1"/>
    <w:rsid w:val="00EC59D0"/>
    <w:rsid w:val="00EC61F8"/>
    <w:rsid w:val="00EC6611"/>
    <w:rsid w:val="00EC6645"/>
    <w:rsid w:val="00EC66DA"/>
    <w:rsid w:val="00EC678E"/>
    <w:rsid w:val="00EC67E7"/>
    <w:rsid w:val="00EC6A53"/>
    <w:rsid w:val="00EC6B3C"/>
    <w:rsid w:val="00EC6C9E"/>
    <w:rsid w:val="00EC6D9E"/>
    <w:rsid w:val="00EC6DD9"/>
    <w:rsid w:val="00EC6EFA"/>
    <w:rsid w:val="00EC741B"/>
    <w:rsid w:val="00EC75AE"/>
    <w:rsid w:val="00EC7605"/>
    <w:rsid w:val="00EC761F"/>
    <w:rsid w:val="00EC764B"/>
    <w:rsid w:val="00EC7C0C"/>
    <w:rsid w:val="00EC7CC1"/>
    <w:rsid w:val="00EC7F4E"/>
    <w:rsid w:val="00ED0585"/>
    <w:rsid w:val="00ED073A"/>
    <w:rsid w:val="00ED094C"/>
    <w:rsid w:val="00ED09B1"/>
    <w:rsid w:val="00ED09F5"/>
    <w:rsid w:val="00ED0A97"/>
    <w:rsid w:val="00ED0BA3"/>
    <w:rsid w:val="00ED0CE0"/>
    <w:rsid w:val="00ED0E43"/>
    <w:rsid w:val="00ED1266"/>
    <w:rsid w:val="00ED1335"/>
    <w:rsid w:val="00ED13BA"/>
    <w:rsid w:val="00ED168C"/>
    <w:rsid w:val="00ED171C"/>
    <w:rsid w:val="00ED17EF"/>
    <w:rsid w:val="00ED18D3"/>
    <w:rsid w:val="00ED18E0"/>
    <w:rsid w:val="00ED197A"/>
    <w:rsid w:val="00ED1ED3"/>
    <w:rsid w:val="00ED2249"/>
    <w:rsid w:val="00ED22E9"/>
    <w:rsid w:val="00ED23E3"/>
    <w:rsid w:val="00ED2441"/>
    <w:rsid w:val="00ED2531"/>
    <w:rsid w:val="00ED2853"/>
    <w:rsid w:val="00ED2BF7"/>
    <w:rsid w:val="00ED2DE2"/>
    <w:rsid w:val="00ED2E8E"/>
    <w:rsid w:val="00ED2F81"/>
    <w:rsid w:val="00ED302C"/>
    <w:rsid w:val="00ED3244"/>
    <w:rsid w:val="00ED32A4"/>
    <w:rsid w:val="00ED32D6"/>
    <w:rsid w:val="00ED3300"/>
    <w:rsid w:val="00ED3391"/>
    <w:rsid w:val="00ED34A7"/>
    <w:rsid w:val="00ED3518"/>
    <w:rsid w:val="00ED362B"/>
    <w:rsid w:val="00ED3728"/>
    <w:rsid w:val="00ED37A4"/>
    <w:rsid w:val="00ED39F6"/>
    <w:rsid w:val="00ED3ACB"/>
    <w:rsid w:val="00ED3D25"/>
    <w:rsid w:val="00ED4049"/>
    <w:rsid w:val="00ED43CA"/>
    <w:rsid w:val="00ED451A"/>
    <w:rsid w:val="00ED45AE"/>
    <w:rsid w:val="00ED460D"/>
    <w:rsid w:val="00ED4612"/>
    <w:rsid w:val="00ED47E1"/>
    <w:rsid w:val="00ED49D0"/>
    <w:rsid w:val="00ED4AF5"/>
    <w:rsid w:val="00ED4B73"/>
    <w:rsid w:val="00ED4D0D"/>
    <w:rsid w:val="00ED4D7B"/>
    <w:rsid w:val="00ED4EA3"/>
    <w:rsid w:val="00ED500F"/>
    <w:rsid w:val="00ED5047"/>
    <w:rsid w:val="00ED51AE"/>
    <w:rsid w:val="00ED527D"/>
    <w:rsid w:val="00ED528B"/>
    <w:rsid w:val="00ED5414"/>
    <w:rsid w:val="00ED5586"/>
    <w:rsid w:val="00ED56D1"/>
    <w:rsid w:val="00ED56E8"/>
    <w:rsid w:val="00ED580B"/>
    <w:rsid w:val="00ED589E"/>
    <w:rsid w:val="00ED5D97"/>
    <w:rsid w:val="00ED5E84"/>
    <w:rsid w:val="00ED60E8"/>
    <w:rsid w:val="00ED60ED"/>
    <w:rsid w:val="00ED62E7"/>
    <w:rsid w:val="00ED6564"/>
    <w:rsid w:val="00ED67D3"/>
    <w:rsid w:val="00ED67DA"/>
    <w:rsid w:val="00ED686E"/>
    <w:rsid w:val="00ED688A"/>
    <w:rsid w:val="00ED6B04"/>
    <w:rsid w:val="00ED6B7E"/>
    <w:rsid w:val="00ED6BA4"/>
    <w:rsid w:val="00ED6C0D"/>
    <w:rsid w:val="00ED6F9D"/>
    <w:rsid w:val="00ED6FBD"/>
    <w:rsid w:val="00ED7065"/>
    <w:rsid w:val="00ED71CA"/>
    <w:rsid w:val="00ED72E3"/>
    <w:rsid w:val="00ED7483"/>
    <w:rsid w:val="00ED74AF"/>
    <w:rsid w:val="00ED759D"/>
    <w:rsid w:val="00ED77D7"/>
    <w:rsid w:val="00ED7923"/>
    <w:rsid w:val="00ED797A"/>
    <w:rsid w:val="00ED79FA"/>
    <w:rsid w:val="00ED7A42"/>
    <w:rsid w:val="00ED7D40"/>
    <w:rsid w:val="00ED7D53"/>
    <w:rsid w:val="00ED7E64"/>
    <w:rsid w:val="00ED7F93"/>
    <w:rsid w:val="00ED7FCC"/>
    <w:rsid w:val="00EE005C"/>
    <w:rsid w:val="00EE0121"/>
    <w:rsid w:val="00EE0145"/>
    <w:rsid w:val="00EE026D"/>
    <w:rsid w:val="00EE0366"/>
    <w:rsid w:val="00EE036B"/>
    <w:rsid w:val="00EE062A"/>
    <w:rsid w:val="00EE089C"/>
    <w:rsid w:val="00EE08E0"/>
    <w:rsid w:val="00EE0919"/>
    <w:rsid w:val="00EE0BF1"/>
    <w:rsid w:val="00EE0C15"/>
    <w:rsid w:val="00EE0C3D"/>
    <w:rsid w:val="00EE0E03"/>
    <w:rsid w:val="00EE115A"/>
    <w:rsid w:val="00EE13CC"/>
    <w:rsid w:val="00EE13E7"/>
    <w:rsid w:val="00EE1441"/>
    <w:rsid w:val="00EE14F5"/>
    <w:rsid w:val="00EE151E"/>
    <w:rsid w:val="00EE1588"/>
    <w:rsid w:val="00EE15B6"/>
    <w:rsid w:val="00EE15E7"/>
    <w:rsid w:val="00EE15ED"/>
    <w:rsid w:val="00EE165C"/>
    <w:rsid w:val="00EE16B9"/>
    <w:rsid w:val="00EE16CE"/>
    <w:rsid w:val="00EE16FC"/>
    <w:rsid w:val="00EE1AB7"/>
    <w:rsid w:val="00EE1B97"/>
    <w:rsid w:val="00EE1D30"/>
    <w:rsid w:val="00EE21EC"/>
    <w:rsid w:val="00EE2359"/>
    <w:rsid w:val="00EE261F"/>
    <w:rsid w:val="00EE2878"/>
    <w:rsid w:val="00EE2AA7"/>
    <w:rsid w:val="00EE2ABD"/>
    <w:rsid w:val="00EE2B56"/>
    <w:rsid w:val="00EE2CC7"/>
    <w:rsid w:val="00EE2D32"/>
    <w:rsid w:val="00EE2D94"/>
    <w:rsid w:val="00EE2ED2"/>
    <w:rsid w:val="00EE3141"/>
    <w:rsid w:val="00EE31D8"/>
    <w:rsid w:val="00EE340D"/>
    <w:rsid w:val="00EE3AA7"/>
    <w:rsid w:val="00EE3FAA"/>
    <w:rsid w:val="00EE4142"/>
    <w:rsid w:val="00EE417B"/>
    <w:rsid w:val="00EE42BB"/>
    <w:rsid w:val="00EE438E"/>
    <w:rsid w:val="00EE450F"/>
    <w:rsid w:val="00EE45C4"/>
    <w:rsid w:val="00EE46A1"/>
    <w:rsid w:val="00EE481D"/>
    <w:rsid w:val="00EE488D"/>
    <w:rsid w:val="00EE48CD"/>
    <w:rsid w:val="00EE4A15"/>
    <w:rsid w:val="00EE4BFA"/>
    <w:rsid w:val="00EE4E79"/>
    <w:rsid w:val="00EE4F6D"/>
    <w:rsid w:val="00EE510F"/>
    <w:rsid w:val="00EE5428"/>
    <w:rsid w:val="00EE566F"/>
    <w:rsid w:val="00EE5718"/>
    <w:rsid w:val="00EE575F"/>
    <w:rsid w:val="00EE5864"/>
    <w:rsid w:val="00EE593F"/>
    <w:rsid w:val="00EE5984"/>
    <w:rsid w:val="00EE5A25"/>
    <w:rsid w:val="00EE5A27"/>
    <w:rsid w:val="00EE5B52"/>
    <w:rsid w:val="00EE5BA9"/>
    <w:rsid w:val="00EE5BDB"/>
    <w:rsid w:val="00EE5F1C"/>
    <w:rsid w:val="00EE65D4"/>
    <w:rsid w:val="00EE661D"/>
    <w:rsid w:val="00EE672A"/>
    <w:rsid w:val="00EE675D"/>
    <w:rsid w:val="00EE6779"/>
    <w:rsid w:val="00EE6820"/>
    <w:rsid w:val="00EE6874"/>
    <w:rsid w:val="00EE6949"/>
    <w:rsid w:val="00EE6AFA"/>
    <w:rsid w:val="00EE6BFD"/>
    <w:rsid w:val="00EE6DBA"/>
    <w:rsid w:val="00EE701C"/>
    <w:rsid w:val="00EE7137"/>
    <w:rsid w:val="00EE7256"/>
    <w:rsid w:val="00EE733C"/>
    <w:rsid w:val="00EE75A4"/>
    <w:rsid w:val="00EE75A5"/>
    <w:rsid w:val="00EE7628"/>
    <w:rsid w:val="00EE7A6D"/>
    <w:rsid w:val="00EE7AE7"/>
    <w:rsid w:val="00EE7BA4"/>
    <w:rsid w:val="00EE7D3F"/>
    <w:rsid w:val="00EE7EE8"/>
    <w:rsid w:val="00EF01C6"/>
    <w:rsid w:val="00EF029B"/>
    <w:rsid w:val="00EF0544"/>
    <w:rsid w:val="00EF05E0"/>
    <w:rsid w:val="00EF071D"/>
    <w:rsid w:val="00EF077B"/>
    <w:rsid w:val="00EF0862"/>
    <w:rsid w:val="00EF0896"/>
    <w:rsid w:val="00EF08AE"/>
    <w:rsid w:val="00EF0B2F"/>
    <w:rsid w:val="00EF0BB3"/>
    <w:rsid w:val="00EF0F21"/>
    <w:rsid w:val="00EF0F7F"/>
    <w:rsid w:val="00EF0FA0"/>
    <w:rsid w:val="00EF1025"/>
    <w:rsid w:val="00EF1139"/>
    <w:rsid w:val="00EF11E0"/>
    <w:rsid w:val="00EF15E0"/>
    <w:rsid w:val="00EF1751"/>
    <w:rsid w:val="00EF17F0"/>
    <w:rsid w:val="00EF1901"/>
    <w:rsid w:val="00EF1B18"/>
    <w:rsid w:val="00EF1B4B"/>
    <w:rsid w:val="00EF1BF7"/>
    <w:rsid w:val="00EF1D62"/>
    <w:rsid w:val="00EF1E0B"/>
    <w:rsid w:val="00EF1E10"/>
    <w:rsid w:val="00EF1E4D"/>
    <w:rsid w:val="00EF2210"/>
    <w:rsid w:val="00EF221A"/>
    <w:rsid w:val="00EF2852"/>
    <w:rsid w:val="00EF2932"/>
    <w:rsid w:val="00EF2B09"/>
    <w:rsid w:val="00EF2B75"/>
    <w:rsid w:val="00EF2E70"/>
    <w:rsid w:val="00EF2F1F"/>
    <w:rsid w:val="00EF2F57"/>
    <w:rsid w:val="00EF33B7"/>
    <w:rsid w:val="00EF3677"/>
    <w:rsid w:val="00EF37AE"/>
    <w:rsid w:val="00EF391E"/>
    <w:rsid w:val="00EF39B0"/>
    <w:rsid w:val="00EF3E5B"/>
    <w:rsid w:val="00EF40F6"/>
    <w:rsid w:val="00EF412C"/>
    <w:rsid w:val="00EF43B5"/>
    <w:rsid w:val="00EF4431"/>
    <w:rsid w:val="00EF44D4"/>
    <w:rsid w:val="00EF45F1"/>
    <w:rsid w:val="00EF4A0D"/>
    <w:rsid w:val="00EF4B63"/>
    <w:rsid w:val="00EF4B88"/>
    <w:rsid w:val="00EF4CD3"/>
    <w:rsid w:val="00EF4DAA"/>
    <w:rsid w:val="00EF50F1"/>
    <w:rsid w:val="00EF5135"/>
    <w:rsid w:val="00EF5278"/>
    <w:rsid w:val="00EF555C"/>
    <w:rsid w:val="00EF59E8"/>
    <w:rsid w:val="00EF6138"/>
    <w:rsid w:val="00EF633F"/>
    <w:rsid w:val="00EF63D0"/>
    <w:rsid w:val="00EF6466"/>
    <w:rsid w:val="00EF65B5"/>
    <w:rsid w:val="00EF6682"/>
    <w:rsid w:val="00EF68BD"/>
    <w:rsid w:val="00EF6B54"/>
    <w:rsid w:val="00EF6CC8"/>
    <w:rsid w:val="00EF6D49"/>
    <w:rsid w:val="00EF6EB2"/>
    <w:rsid w:val="00EF6EF9"/>
    <w:rsid w:val="00EF7062"/>
    <w:rsid w:val="00EF7385"/>
    <w:rsid w:val="00EF74DE"/>
    <w:rsid w:val="00EF7A7D"/>
    <w:rsid w:val="00EF7B15"/>
    <w:rsid w:val="00EF7B21"/>
    <w:rsid w:val="00EF7DC0"/>
    <w:rsid w:val="00EF7F6E"/>
    <w:rsid w:val="00F0005F"/>
    <w:rsid w:val="00F000E0"/>
    <w:rsid w:val="00F0031A"/>
    <w:rsid w:val="00F003AA"/>
    <w:rsid w:val="00F00524"/>
    <w:rsid w:val="00F006EE"/>
    <w:rsid w:val="00F00839"/>
    <w:rsid w:val="00F0086F"/>
    <w:rsid w:val="00F00A16"/>
    <w:rsid w:val="00F00A4D"/>
    <w:rsid w:val="00F00A5E"/>
    <w:rsid w:val="00F00BAF"/>
    <w:rsid w:val="00F00BDF"/>
    <w:rsid w:val="00F0103F"/>
    <w:rsid w:val="00F01095"/>
    <w:rsid w:val="00F01270"/>
    <w:rsid w:val="00F0130E"/>
    <w:rsid w:val="00F013A2"/>
    <w:rsid w:val="00F013D5"/>
    <w:rsid w:val="00F0149E"/>
    <w:rsid w:val="00F015AB"/>
    <w:rsid w:val="00F01765"/>
    <w:rsid w:val="00F017D2"/>
    <w:rsid w:val="00F019AD"/>
    <w:rsid w:val="00F01B9A"/>
    <w:rsid w:val="00F01D8B"/>
    <w:rsid w:val="00F01E25"/>
    <w:rsid w:val="00F01E29"/>
    <w:rsid w:val="00F01F56"/>
    <w:rsid w:val="00F01FF2"/>
    <w:rsid w:val="00F02140"/>
    <w:rsid w:val="00F021F7"/>
    <w:rsid w:val="00F02336"/>
    <w:rsid w:val="00F02371"/>
    <w:rsid w:val="00F023CF"/>
    <w:rsid w:val="00F02499"/>
    <w:rsid w:val="00F02B68"/>
    <w:rsid w:val="00F02CF7"/>
    <w:rsid w:val="00F03036"/>
    <w:rsid w:val="00F03044"/>
    <w:rsid w:val="00F03092"/>
    <w:rsid w:val="00F03177"/>
    <w:rsid w:val="00F0317F"/>
    <w:rsid w:val="00F032B3"/>
    <w:rsid w:val="00F03405"/>
    <w:rsid w:val="00F0350D"/>
    <w:rsid w:val="00F035CA"/>
    <w:rsid w:val="00F03783"/>
    <w:rsid w:val="00F03CE8"/>
    <w:rsid w:val="00F04024"/>
    <w:rsid w:val="00F04125"/>
    <w:rsid w:val="00F041B9"/>
    <w:rsid w:val="00F04253"/>
    <w:rsid w:val="00F0445C"/>
    <w:rsid w:val="00F045BD"/>
    <w:rsid w:val="00F0487B"/>
    <w:rsid w:val="00F04A54"/>
    <w:rsid w:val="00F04ADC"/>
    <w:rsid w:val="00F04C6A"/>
    <w:rsid w:val="00F04C91"/>
    <w:rsid w:val="00F04D03"/>
    <w:rsid w:val="00F04D89"/>
    <w:rsid w:val="00F04D98"/>
    <w:rsid w:val="00F050D2"/>
    <w:rsid w:val="00F050D5"/>
    <w:rsid w:val="00F050DC"/>
    <w:rsid w:val="00F052E6"/>
    <w:rsid w:val="00F05357"/>
    <w:rsid w:val="00F053C7"/>
    <w:rsid w:val="00F05508"/>
    <w:rsid w:val="00F058E2"/>
    <w:rsid w:val="00F05AD6"/>
    <w:rsid w:val="00F05BAB"/>
    <w:rsid w:val="00F05D5D"/>
    <w:rsid w:val="00F05F16"/>
    <w:rsid w:val="00F06178"/>
    <w:rsid w:val="00F06787"/>
    <w:rsid w:val="00F069D8"/>
    <w:rsid w:val="00F069DC"/>
    <w:rsid w:val="00F06D25"/>
    <w:rsid w:val="00F06DBD"/>
    <w:rsid w:val="00F0706E"/>
    <w:rsid w:val="00F07353"/>
    <w:rsid w:val="00F07560"/>
    <w:rsid w:val="00F0758A"/>
    <w:rsid w:val="00F075A4"/>
    <w:rsid w:val="00F076A2"/>
    <w:rsid w:val="00F078AA"/>
    <w:rsid w:val="00F07E11"/>
    <w:rsid w:val="00F07F70"/>
    <w:rsid w:val="00F07FD6"/>
    <w:rsid w:val="00F1003D"/>
    <w:rsid w:val="00F10158"/>
    <w:rsid w:val="00F101C7"/>
    <w:rsid w:val="00F10285"/>
    <w:rsid w:val="00F10709"/>
    <w:rsid w:val="00F10A9B"/>
    <w:rsid w:val="00F10AB5"/>
    <w:rsid w:val="00F10D15"/>
    <w:rsid w:val="00F10DF0"/>
    <w:rsid w:val="00F111B3"/>
    <w:rsid w:val="00F111B7"/>
    <w:rsid w:val="00F112ED"/>
    <w:rsid w:val="00F1131F"/>
    <w:rsid w:val="00F1144F"/>
    <w:rsid w:val="00F11684"/>
    <w:rsid w:val="00F116ED"/>
    <w:rsid w:val="00F117BF"/>
    <w:rsid w:val="00F117C1"/>
    <w:rsid w:val="00F119B0"/>
    <w:rsid w:val="00F11CEF"/>
    <w:rsid w:val="00F11CF0"/>
    <w:rsid w:val="00F11E71"/>
    <w:rsid w:val="00F11E76"/>
    <w:rsid w:val="00F11EA4"/>
    <w:rsid w:val="00F121C2"/>
    <w:rsid w:val="00F12241"/>
    <w:rsid w:val="00F12401"/>
    <w:rsid w:val="00F12427"/>
    <w:rsid w:val="00F12563"/>
    <w:rsid w:val="00F12599"/>
    <w:rsid w:val="00F1271A"/>
    <w:rsid w:val="00F127D3"/>
    <w:rsid w:val="00F12A2D"/>
    <w:rsid w:val="00F12E03"/>
    <w:rsid w:val="00F13016"/>
    <w:rsid w:val="00F1338C"/>
    <w:rsid w:val="00F1376F"/>
    <w:rsid w:val="00F1395F"/>
    <w:rsid w:val="00F13BE7"/>
    <w:rsid w:val="00F13C41"/>
    <w:rsid w:val="00F13C6A"/>
    <w:rsid w:val="00F145D7"/>
    <w:rsid w:val="00F147A2"/>
    <w:rsid w:val="00F148A2"/>
    <w:rsid w:val="00F14C9F"/>
    <w:rsid w:val="00F14CF3"/>
    <w:rsid w:val="00F14D31"/>
    <w:rsid w:val="00F15085"/>
    <w:rsid w:val="00F154D0"/>
    <w:rsid w:val="00F1559F"/>
    <w:rsid w:val="00F15A77"/>
    <w:rsid w:val="00F15A98"/>
    <w:rsid w:val="00F15B41"/>
    <w:rsid w:val="00F15C51"/>
    <w:rsid w:val="00F15DA4"/>
    <w:rsid w:val="00F15DD7"/>
    <w:rsid w:val="00F15E86"/>
    <w:rsid w:val="00F15EF6"/>
    <w:rsid w:val="00F15F0C"/>
    <w:rsid w:val="00F15F39"/>
    <w:rsid w:val="00F15F5E"/>
    <w:rsid w:val="00F15FA0"/>
    <w:rsid w:val="00F1604E"/>
    <w:rsid w:val="00F160AF"/>
    <w:rsid w:val="00F160C5"/>
    <w:rsid w:val="00F161A2"/>
    <w:rsid w:val="00F162CF"/>
    <w:rsid w:val="00F16390"/>
    <w:rsid w:val="00F16431"/>
    <w:rsid w:val="00F166F8"/>
    <w:rsid w:val="00F168F1"/>
    <w:rsid w:val="00F16A62"/>
    <w:rsid w:val="00F16C52"/>
    <w:rsid w:val="00F16F18"/>
    <w:rsid w:val="00F16F9B"/>
    <w:rsid w:val="00F17638"/>
    <w:rsid w:val="00F17673"/>
    <w:rsid w:val="00F17816"/>
    <w:rsid w:val="00F17905"/>
    <w:rsid w:val="00F1791B"/>
    <w:rsid w:val="00F17922"/>
    <w:rsid w:val="00F1798D"/>
    <w:rsid w:val="00F17CFF"/>
    <w:rsid w:val="00F17D66"/>
    <w:rsid w:val="00F17F47"/>
    <w:rsid w:val="00F20350"/>
    <w:rsid w:val="00F20592"/>
    <w:rsid w:val="00F205EC"/>
    <w:rsid w:val="00F205EF"/>
    <w:rsid w:val="00F205F8"/>
    <w:rsid w:val="00F2084B"/>
    <w:rsid w:val="00F20876"/>
    <w:rsid w:val="00F209B7"/>
    <w:rsid w:val="00F20B79"/>
    <w:rsid w:val="00F20FAC"/>
    <w:rsid w:val="00F20FB5"/>
    <w:rsid w:val="00F21082"/>
    <w:rsid w:val="00F211A1"/>
    <w:rsid w:val="00F21526"/>
    <w:rsid w:val="00F21640"/>
    <w:rsid w:val="00F2175F"/>
    <w:rsid w:val="00F218B9"/>
    <w:rsid w:val="00F2194F"/>
    <w:rsid w:val="00F21A39"/>
    <w:rsid w:val="00F21B99"/>
    <w:rsid w:val="00F21BCA"/>
    <w:rsid w:val="00F21F10"/>
    <w:rsid w:val="00F21FA6"/>
    <w:rsid w:val="00F223E9"/>
    <w:rsid w:val="00F22936"/>
    <w:rsid w:val="00F22C39"/>
    <w:rsid w:val="00F22F1A"/>
    <w:rsid w:val="00F22FF9"/>
    <w:rsid w:val="00F23316"/>
    <w:rsid w:val="00F23494"/>
    <w:rsid w:val="00F237DB"/>
    <w:rsid w:val="00F237F5"/>
    <w:rsid w:val="00F239D7"/>
    <w:rsid w:val="00F23B4A"/>
    <w:rsid w:val="00F23E31"/>
    <w:rsid w:val="00F24044"/>
    <w:rsid w:val="00F24152"/>
    <w:rsid w:val="00F2441F"/>
    <w:rsid w:val="00F2443F"/>
    <w:rsid w:val="00F24451"/>
    <w:rsid w:val="00F24744"/>
    <w:rsid w:val="00F247DA"/>
    <w:rsid w:val="00F24888"/>
    <w:rsid w:val="00F24AC1"/>
    <w:rsid w:val="00F25047"/>
    <w:rsid w:val="00F25062"/>
    <w:rsid w:val="00F2512B"/>
    <w:rsid w:val="00F25241"/>
    <w:rsid w:val="00F2544C"/>
    <w:rsid w:val="00F255B4"/>
    <w:rsid w:val="00F25757"/>
    <w:rsid w:val="00F25777"/>
    <w:rsid w:val="00F257E8"/>
    <w:rsid w:val="00F25BA6"/>
    <w:rsid w:val="00F25CEA"/>
    <w:rsid w:val="00F2611C"/>
    <w:rsid w:val="00F26927"/>
    <w:rsid w:val="00F269D1"/>
    <w:rsid w:val="00F26A08"/>
    <w:rsid w:val="00F270F1"/>
    <w:rsid w:val="00F27103"/>
    <w:rsid w:val="00F27117"/>
    <w:rsid w:val="00F2714A"/>
    <w:rsid w:val="00F272A0"/>
    <w:rsid w:val="00F274F3"/>
    <w:rsid w:val="00F275A0"/>
    <w:rsid w:val="00F2762C"/>
    <w:rsid w:val="00F278B9"/>
    <w:rsid w:val="00F27ABC"/>
    <w:rsid w:val="00F27D0E"/>
    <w:rsid w:val="00F27E74"/>
    <w:rsid w:val="00F301A5"/>
    <w:rsid w:val="00F301FA"/>
    <w:rsid w:val="00F302FB"/>
    <w:rsid w:val="00F30302"/>
    <w:rsid w:val="00F30652"/>
    <w:rsid w:val="00F306FA"/>
    <w:rsid w:val="00F30722"/>
    <w:rsid w:val="00F30731"/>
    <w:rsid w:val="00F307C2"/>
    <w:rsid w:val="00F308DF"/>
    <w:rsid w:val="00F3098B"/>
    <w:rsid w:val="00F30E82"/>
    <w:rsid w:val="00F30ED9"/>
    <w:rsid w:val="00F31020"/>
    <w:rsid w:val="00F310E8"/>
    <w:rsid w:val="00F31841"/>
    <w:rsid w:val="00F3188E"/>
    <w:rsid w:val="00F31A10"/>
    <w:rsid w:val="00F31AB8"/>
    <w:rsid w:val="00F31AE3"/>
    <w:rsid w:val="00F31AEF"/>
    <w:rsid w:val="00F31DB4"/>
    <w:rsid w:val="00F31DBB"/>
    <w:rsid w:val="00F31E9E"/>
    <w:rsid w:val="00F31F1F"/>
    <w:rsid w:val="00F322F2"/>
    <w:rsid w:val="00F32496"/>
    <w:rsid w:val="00F325AE"/>
    <w:rsid w:val="00F3264E"/>
    <w:rsid w:val="00F3268B"/>
    <w:rsid w:val="00F32878"/>
    <w:rsid w:val="00F32C96"/>
    <w:rsid w:val="00F32C9E"/>
    <w:rsid w:val="00F32CF4"/>
    <w:rsid w:val="00F3317F"/>
    <w:rsid w:val="00F33334"/>
    <w:rsid w:val="00F33356"/>
    <w:rsid w:val="00F33513"/>
    <w:rsid w:val="00F336BA"/>
    <w:rsid w:val="00F336E9"/>
    <w:rsid w:val="00F33720"/>
    <w:rsid w:val="00F339C5"/>
    <w:rsid w:val="00F339EA"/>
    <w:rsid w:val="00F33A22"/>
    <w:rsid w:val="00F33B8A"/>
    <w:rsid w:val="00F33C4A"/>
    <w:rsid w:val="00F33D7C"/>
    <w:rsid w:val="00F33F59"/>
    <w:rsid w:val="00F33FA3"/>
    <w:rsid w:val="00F341D8"/>
    <w:rsid w:val="00F341E0"/>
    <w:rsid w:val="00F3429A"/>
    <w:rsid w:val="00F34721"/>
    <w:rsid w:val="00F34783"/>
    <w:rsid w:val="00F347EC"/>
    <w:rsid w:val="00F34816"/>
    <w:rsid w:val="00F34868"/>
    <w:rsid w:val="00F348CE"/>
    <w:rsid w:val="00F349E5"/>
    <w:rsid w:val="00F34A5E"/>
    <w:rsid w:val="00F34A66"/>
    <w:rsid w:val="00F34C90"/>
    <w:rsid w:val="00F34D0F"/>
    <w:rsid w:val="00F34E89"/>
    <w:rsid w:val="00F34EAF"/>
    <w:rsid w:val="00F352F6"/>
    <w:rsid w:val="00F356BC"/>
    <w:rsid w:val="00F35947"/>
    <w:rsid w:val="00F35ABC"/>
    <w:rsid w:val="00F35D1A"/>
    <w:rsid w:val="00F35D2F"/>
    <w:rsid w:val="00F36187"/>
    <w:rsid w:val="00F36271"/>
    <w:rsid w:val="00F3667D"/>
    <w:rsid w:val="00F366DB"/>
    <w:rsid w:val="00F3673E"/>
    <w:rsid w:val="00F367AC"/>
    <w:rsid w:val="00F36B1B"/>
    <w:rsid w:val="00F36E53"/>
    <w:rsid w:val="00F36EB5"/>
    <w:rsid w:val="00F37286"/>
    <w:rsid w:val="00F37347"/>
    <w:rsid w:val="00F374A3"/>
    <w:rsid w:val="00F37721"/>
    <w:rsid w:val="00F3773B"/>
    <w:rsid w:val="00F37791"/>
    <w:rsid w:val="00F37899"/>
    <w:rsid w:val="00F378D5"/>
    <w:rsid w:val="00F37AB3"/>
    <w:rsid w:val="00F37B3D"/>
    <w:rsid w:val="00F37CDD"/>
    <w:rsid w:val="00F37D51"/>
    <w:rsid w:val="00F37E0C"/>
    <w:rsid w:val="00F37EDE"/>
    <w:rsid w:val="00F402C0"/>
    <w:rsid w:val="00F4073A"/>
    <w:rsid w:val="00F40AEC"/>
    <w:rsid w:val="00F412BE"/>
    <w:rsid w:val="00F413AB"/>
    <w:rsid w:val="00F41534"/>
    <w:rsid w:val="00F41613"/>
    <w:rsid w:val="00F416CD"/>
    <w:rsid w:val="00F41741"/>
    <w:rsid w:val="00F417C3"/>
    <w:rsid w:val="00F41917"/>
    <w:rsid w:val="00F41ADB"/>
    <w:rsid w:val="00F41AFA"/>
    <w:rsid w:val="00F41E33"/>
    <w:rsid w:val="00F41E4F"/>
    <w:rsid w:val="00F41E94"/>
    <w:rsid w:val="00F42340"/>
    <w:rsid w:val="00F423C6"/>
    <w:rsid w:val="00F428ED"/>
    <w:rsid w:val="00F42A11"/>
    <w:rsid w:val="00F42B6A"/>
    <w:rsid w:val="00F4312A"/>
    <w:rsid w:val="00F4336C"/>
    <w:rsid w:val="00F434A2"/>
    <w:rsid w:val="00F43914"/>
    <w:rsid w:val="00F43941"/>
    <w:rsid w:val="00F43985"/>
    <w:rsid w:val="00F43C2E"/>
    <w:rsid w:val="00F43D02"/>
    <w:rsid w:val="00F43F73"/>
    <w:rsid w:val="00F44088"/>
    <w:rsid w:val="00F4412B"/>
    <w:rsid w:val="00F44189"/>
    <w:rsid w:val="00F44265"/>
    <w:rsid w:val="00F444CC"/>
    <w:rsid w:val="00F445A6"/>
    <w:rsid w:val="00F44928"/>
    <w:rsid w:val="00F44A1C"/>
    <w:rsid w:val="00F44A44"/>
    <w:rsid w:val="00F44B7D"/>
    <w:rsid w:val="00F44C48"/>
    <w:rsid w:val="00F44CE3"/>
    <w:rsid w:val="00F4517F"/>
    <w:rsid w:val="00F451D0"/>
    <w:rsid w:val="00F451DF"/>
    <w:rsid w:val="00F45208"/>
    <w:rsid w:val="00F4520B"/>
    <w:rsid w:val="00F45251"/>
    <w:rsid w:val="00F45397"/>
    <w:rsid w:val="00F45412"/>
    <w:rsid w:val="00F45779"/>
    <w:rsid w:val="00F458E8"/>
    <w:rsid w:val="00F45AF8"/>
    <w:rsid w:val="00F45B98"/>
    <w:rsid w:val="00F45D5A"/>
    <w:rsid w:val="00F45D82"/>
    <w:rsid w:val="00F461C7"/>
    <w:rsid w:val="00F46264"/>
    <w:rsid w:val="00F464B2"/>
    <w:rsid w:val="00F46611"/>
    <w:rsid w:val="00F469C0"/>
    <w:rsid w:val="00F46C20"/>
    <w:rsid w:val="00F46C42"/>
    <w:rsid w:val="00F47058"/>
    <w:rsid w:val="00F472B0"/>
    <w:rsid w:val="00F473F4"/>
    <w:rsid w:val="00F47517"/>
    <w:rsid w:val="00F47557"/>
    <w:rsid w:val="00F478BD"/>
    <w:rsid w:val="00F478E3"/>
    <w:rsid w:val="00F47C2B"/>
    <w:rsid w:val="00F47EAF"/>
    <w:rsid w:val="00F50993"/>
    <w:rsid w:val="00F509D5"/>
    <w:rsid w:val="00F50C5F"/>
    <w:rsid w:val="00F50CD8"/>
    <w:rsid w:val="00F50E8C"/>
    <w:rsid w:val="00F51294"/>
    <w:rsid w:val="00F512AD"/>
    <w:rsid w:val="00F512E6"/>
    <w:rsid w:val="00F51321"/>
    <w:rsid w:val="00F51480"/>
    <w:rsid w:val="00F516D4"/>
    <w:rsid w:val="00F5190F"/>
    <w:rsid w:val="00F51AAB"/>
    <w:rsid w:val="00F51FF0"/>
    <w:rsid w:val="00F52506"/>
    <w:rsid w:val="00F525CD"/>
    <w:rsid w:val="00F5277F"/>
    <w:rsid w:val="00F5286B"/>
    <w:rsid w:val="00F528C0"/>
    <w:rsid w:val="00F52BEF"/>
    <w:rsid w:val="00F52CD6"/>
    <w:rsid w:val="00F52D9B"/>
    <w:rsid w:val="00F53082"/>
    <w:rsid w:val="00F5309A"/>
    <w:rsid w:val="00F531B6"/>
    <w:rsid w:val="00F5326B"/>
    <w:rsid w:val="00F53369"/>
    <w:rsid w:val="00F5343D"/>
    <w:rsid w:val="00F5348B"/>
    <w:rsid w:val="00F534ED"/>
    <w:rsid w:val="00F5362B"/>
    <w:rsid w:val="00F536C8"/>
    <w:rsid w:val="00F537BF"/>
    <w:rsid w:val="00F53801"/>
    <w:rsid w:val="00F53AD4"/>
    <w:rsid w:val="00F53BAB"/>
    <w:rsid w:val="00F53BEF"/>
    <w:rsid w:val="00F53CF0"/>
    <w:rsid w:val="00F5404A"/>
    <w:rsid w:val="00F54392"/>
    <w:rsid w:val="00F5477A"/>
    <w:rsid w:val="00F5489F"/>
    <w:rsid w:val="00F54AA4"/>
    <w:rsid w:val="00F54CFD"/>
    <w:rsid w:val="00F54E94"/>
    <w:rsid w:val="00F550A6"/>
    <w:rsid w:val="00F55127"/>
    <w:rsid w:val="00F55172"/>
    <w:rsid w:val="00F5517D"/>
    <w:rsid w:val="00F555BC"/>
    <w:rsid w:val="00F558B2"/>
    <w:rsid w:val="00F55BF4"/>
    <w:rsid w:val="00F55FB3"/>
    <w:rsid w:val="00F56015"/>
    <w:rsid w:val="00F56164"/>
    <w:rsid w:val="00F562C4"/>
    <w:rsid w:val="00F56380"/>
    <w:rsid w:val="00F56400"/>
    <w:rsid w:val="00F565E0"/>
    <w:rsid w:val="00F5689E"/>
    <w:rsid w:val="00F56969"/>
    <w:rsid w:val="00F56A14"/>
    <w:rsid w:val="00F56CC0"/>
    <w:rsid w:val="00F56DED"/>
    <w:rsid w:val="00F57109"/>
    <w:rsid w:val="00F5730B"/>
    <w:rsid w:val="00F57394"/>
    <w:rsid w:val="00F5795E"/>
    <w:rsid w:val="00F57BD0"/>
    <w:rsid w:val="00F57BF6"/>
    <w:rsid w:val="00F6037B"/>
    <w:rsid w:val="00F603D9"/>
    <w:rsid w:val="00F604D2"/>
    <w:rsid w:val="00F60633"/>
    <w:rsid w:val="00F60773"/>
    <w:rsid w:val="00F60885"/>
    <w:rsid w:val="00F608DF"/>
    <w:rsid w:val="00F60A75"/>
    <w:rsid w:val="00F60CB7"/>
    <w:rsid w:val="00F60EA1"/>
    <w:rsid w:val="00F612AD"/>
    <w:rsid w:val="00F616C2"/>
    <w:rsid w:val="00F61728"/>
    <w:rsid w:val="00F6174C"/>
    <w:rsid w:val="00F617AB"/>
    <w:rsid w:val="00F618F5"/>
    <w:rsid w:val="00F61917"/>
    <w:rsid w:val="00F61DED"/>
    <w:rsid w:val="00F62056"/>
    <w:rsid w:val="00F6221F"/>
    <w:rsid w:val="00F623E9"/>
    <w:rsid w:val="00F625AF"/>
    <w:rsid w:val="00F62659"/>
    <w:rsid w:val="00F6282C"/>
    <w:rsid w:val="00F6291B"/>
    <w:rsid w:val="00F62C2E"/>
    <w:rsid w:val="00F62DA9"/>
    <w:rsid w:val="00F62E82"/>
    <w:rsid w:val="00F62FC7"/>
    <w:rsid w:val="00F6306B"/>
    <w:rsid w:val="00F63090"/>
    <w:rsid w:val="00F630C1"/>
    <w:rsid w:val="00F632E7"/>
    <w:rsid w:val="00F632FE"/>
    <w:rsid w:val="00F63307"/>
    <w:rsid w:val="00F635FB"/>
    <w:rsid w:val="00F63654"/>
    <w:rsid w:val="00F6398A"/>
    <w:rsid w:val="00F63BBB"/>
    <w:rsid w:val="00F63FD8"/>
    <w:rsid w:val="00F640FE"/>
    <w:rsid w:val="00F6411D"/>
    <w:rsid w:val="00F641F4"/>
    <w:rsid w:val="00F642B3"/>
    <w:rsid w:val="00F64317"/>
    <w:rsid w:val="00F64729"/>
    <w:rsid w:val="00F648EE"/>
    <w:rsid w:val="00F64981"/>
    <w:rsid w:val="00F64D7F"/>
    <w:rsid w:val="00F64EBB"/>
    <w:rsid w:val="00F6505D"/>
    <w:rsid w:val="00F65092"/>
    <w:rsid w:val="00F65459"/>
    <w:rsid w:val="00F65628"/>
    <w:rsid w:val="00F659E8"/>
    <w:rsid w:val="00F65C17"/>
    <w:rsid w:val="00F65DFE"/>
    <w:rsid w:val="00F65E0D"/>
    <w:rsid w:val="00F660A2"/>
    <w:rsid w:val="00F662F9"/>
    <w:rsid w:val="00F6633C"/>
    <w:rsid w:val="00F66376"/>
    <w:rsid w:val="00F663F6"/>
    <w:rsid w:val="00F6642D"/>
    <w:rsid w:val="00F664E2"/>
    <w:rsid w:val="00F664EB"/>
    <w:rsid w:val="00F666CC"/>
    <w:rsid w:val="00F667A8"/>
    <w:rsid w:val="00F66C2D"/>
    <w:rsid w:val="00F66C5C"/>
    <w:rsid w:val="00F66D14"/>
    <w:rsid w:val="00F66D1D"/>
    <w:rsid w:val="00F670F7"/>
    <w:rsid w:val="00F67243"/>
    <w:rsid w:val="00F677B9"/>
    <w:rsid w:val="00F679B8"/>
    <w:rsid w:val="00F67A13"/>
    <w:rsid w:val="00F67B7D"/>
    <w:rsid w:val="00F67C2D"/>
    <w:rsid w:val="00F67E27"/>
    <w:rsid w:val="00F67E6D"/>
    <w:rsid w:val="00F7003B"/>
    <w:rsid w:val="00F701E1"/>
    <w:rsid w:val="00F70401"/>
    <w:rsid w:val="00F70607"/>
    <w:rsid w:val="00F706CA"/>
    <w:rsid w:val="00F70AF0"/>
    <w:rsid w:val="00F70BE8"/>
    <w:rsid w:val="00F70CA5"/>
    <w:rsid w:val="00F70FA7"/>
    <w:rsid w:val="00F716F5"/>
    <w:rsid w:val="00F71953"/>
    <w:rsid w:val="00F7195C"/>
    <w:rsid w:val="00F71975"/>
    <w:rsid w:val="00F71ACC"/>
    <w:rsid w:val="00F71D57"/>
    <w:rsid w:val="00F71DA0"/>
    <w:rsid w:val="00F71DBE"/>
    <w:rsid w:val="00F71E92"/>
    <w:rsid w:val="00F7208B"/>
    <w:rsid w:val="00F72322"/>
    <w:rsid w:val="00F723C0"/>
    <w:rsid w:val="00F724A2"/>
    <w:rsid w:val="00F72545"/>
    <w:rsid w:val="00F7283E"/>
    <w:rsid w:val="00F72866"/>
    <w:rsid w:val="00F728B7"/>
    <w:rsid w:val="00F728B8"/>
    <w:rsid w:val="00F72A36"/>
    <w:rsid w:val="00F72B71"/>
    <w:rsid w:val="00F73105"/>
    <w:rsid w:val="00F734E4"/>
    <w:rsid w:val="00F735B6"/>
    <w:rsid w:val="00F73695"/>
    <w:rsid w:val="00F736FA"/>
    <w:rsid w:val="00F737C5"/>
    <w:rsid w:val="00F739C2"/>
    <w:rsid w:val="00F73D16"/>
    <w:rsid w:val="00F73D18"/>
    <w:rsid w:val="00F74007"/>
    <w:rsid w:val="00F74127"/>
    <w:rsid w:val="00F741F2"/>
    <w:rsid w:val="00F74418"/>
    <w:rsid w:val="00F7443E"/>
    <w:rsid w:val="00F747AB"/>
    <w:rsid w:val="00F74AFC"/>
    <w:rsid w:val="00F74C16"/>
    <w:rsid w:val="00F74F16"/>
    <w:rsid w:val="00F75100"/>
    <w:rsid w:val="00F75463"/>
    <w:rsid w:val="00F7554A"/>
    <w:rsid w:val="00F7563F"/>
    <w:rsid w:val="00F75747"/>
    <w:rsid w:val="00F75980"/>
    <w:rsid w:val="00F759FF"/>
    <w:rsid w:val="00F75BD7"/>
    <w:rsid w:val="00F75FEF"/>
    <w:rsid w:val="00F76033"/>
    <w:rsid w:val="00F76134"/>
    <w:rsid w:val="00F7631B"/>
    <w:rsid w:val="00F7635F"/>
    <w:rsid w:val="00F765D0"/>
    <w:rsid w:val="00F765D1"/>
    <w:rsid w:val="00F76626"/>
    <w:rsid w:val="00F767D4"/>
    <w:rsid w:val="00F7692E"/>
    <w:rsid w:val="00F76B41"/>
    <w:rsid w:val="00F76D56"/>
    <w:rsid w:val="00F76D57"/>
    <w:rsid w:val="00F76D5F"/>
    <w:rsid w:val="00F76D61"/>
    <w:rsid w:val="00F76E22"/>
    <w:rsid w:val="00F76F0B"/>
    <w:rsid w:val="00F76FE5"/>
    <w:rsid w:val="00F7704B"/>
    <w:rsid w:val="00F771A4"/>
    <w:rsid w:val="00F772E4"/>
    <w:rsid w:val="00F776EA"/>
    <w:rsid w:val="00F777EC"/>
    <w:rsid w:val="00F77835"/>
    <w:rsid w:val="00F7792E"/>
    <w:rsid w:val="00F77ACE"/>
    <w:rsid w:val="00F77BC6"/>
    <w:rsid w:val="00F77C5F"/>
    <w:rsid w:val="00F77C79"/>
    <w:rsid w:val="00F77EB4"/>
    <w:rsid w:val="00F8006A"/>
    <w:rsid w:val="00F802BB"/>
    <w:rsid w:val="00F804EF"/>
    <w:rsid w:val="00F8056E"/>
    <w:rsid w:val="00F80624"/>
    <w:rsid w:val="00F8074E"/>
    <w:rsid w:val="00F80A08"/>
    <w:rsid w:val="00F80BC8"/>
    <w:rsid w:val="00F80D15"/>
    <w:rsid w:val="00F80D8C"/>
    <w:rsid w:val="00F80F5B"/>
    <w:rsid w:val="00F81007"/>
    <w:rsid w:val="00F8104E"/>
    <w:rsid w:val="00F81234"/>
    <w:rsid w:val="00F815A5"/>
    <w:rsid w:val="00F815D2"/>
    <w:rsid w:val="00F8163E"/>
    <w:rsid w:val="00F818F2"/>
    <w:rsid w:val="00F81A37"/>
    <w:rsid w:val="00F81B91"/>
    <w:rsid w:val="00F81B93"/>
    <w:rsid w:val="00F81B9F"/>
    <w:rsid w:val="00F81BA1"/>
    <w:rsid w:val="00F82000"/>
    <w:rsid w:val="00F8200A"/>
    <w:rsid w:val="00F823E2"/>
    <w:rsid w:val="00F824EC"/>
    <w:rsid w:val="00F8257A"/>
    <w:rsid w:val="00F825BA"/>
    <w:rsid w:val="00F8279E"/>
    <w:rsid w:val="00F827AD"/>
    <w:rsid w:val="00F828FE"/>
    <w:rsid w:val="00F829D6"/>
    <w:rsid w:val="00F82AC8"/>
    <w:rsid w:val="00F82B9D"/>
    <w:rsid w:val="00F82BD1"/>
    <w:rsid w:val="00F82E32"/>
    <w:rsid w:val="00F82F90"/>
    <w:rsid w:val="00F8307C"/>
    <w:rsid w:val="00F830F9"/>
    <w:rsid w:val="00F83224"/>
    <w:rsid w:val="00F832F5"/>
    <w:rsid w:val="00F835B8"/>
    <w:rsid w:val="00F835CA"/>
    <w:rsid w:val="00F837BE"/>
    <w:rsid w:val="00F8397B"/>
    <w:rsid w:val="00F83B60"/>
    <w:rsid w:val="00F83BE9"/>
    <w:rsid w:val="00F84028"/>
    <w:rsid w:val="00F84118"/>
    <w:rsid w:val="00F84137"/>
    <w:rsid w:val="00F8444B"/>
    <w:rsid w:val="00F844A6"/>
    <w:rsid w:val="00F84760"/>
    <w:rsid w:val="00F84816"/>
    <w:rsid w:val="00F84E09"/>
    <w:rsid w:val="00F84F7A"/>
    <w:rsid w:val="00F84FB2"/>
    <w:rsid w:val="00F84FD7"/>
    <w:rsid w:val="00F85085"/>
    <w:rsid w:val="00F85142"/>
    <w:rsid w:val="00F85241"/>
    <w:rsid w:val="00F85318"/>
    <w:rsid w:val="00F8539B"/>
    <w:rsid w:val="00F854F9"/>
    <w:rsid w:val="00F8559E"/>
    <w:rsid w:val="00F85618"/>
    <w:rsid w:val="00F856AA"/>
    <w:rsid w:val="00F856C8"/>
    <w:rsid w:val="00F85828"/>
    <w:rsid w:val="00F8590B"/>
    <w:rsid w:val="00F859E9"/>
    <w:rsid w:val="00F85B15"/>
    <w:rsid w:val="00F85D96"/>
    <w:rsid w:val="00F85F38"/>
    <w:rsid w:val="00F85F88"/>
    <w:rsid w:val="00F860FB"/>
    <w:rsid w:val="00F86173"/>
    <w:rsid w:val="00F862F9"/>
    <w:rsid w:val="00F865C9"/>
    <w:rsid w:val="00F86957"/>
    <w:rsid w:val="00F86BFD"/>
    <w:rsid w:val="00F86F06"/>
    <w:rsid w:val="00F86FC8"/>
    <w:rsid w:val="00F871F2"/>
    <w:rsid w:val="00F87245"/>
    <w:rsid w:val="00F87339"/>
    <w:rsid w:val="00F87477"/>
    <w:rsid w:val="00F875E7"/>
    <w:rsid w:val="00F87685"/>
    <w:rsid w:val="00F87745"/>
    <w:rsid w:val="00F879B1"/>
    <w:rsid w:val="00F87AAA"/>
    <w:rsid w:val="00F87D19"/>
    <w:rsid w:val="00F87F5D"/>
    <w:rsid w:val="00F87FA7"/>
    <w:rsid w:val="00F90064"/>
    <w:rsid w:val="00F90270"/>
    <w:rsid w:val="00F9029D"/>
    <w:rsid w:val="00F90319"/>
    <w:rsid w:val="00F90392"/>
    <w:rsid w:val="00F90501"/>
    <w:rsid w:val="00F9058D"/>
    <w:rsid w:val="00F90922"/>
    <w:rsid w:val="00F90956"/>
    <w:rsid w:val="00F909FA"/>
    <w:rsid w:val="00F90AB9"/>
    <w:rsid w:val="00F90B51"/>
    <w:rsid w:val="00F90C39"/>
    <w:rsid w:val="00F91269"/>
    <w:rsid w:val="00F912B4"/>
    <w:rsid w:val="00F91453"/>
    <w:rsid w:val="00F914CE"/>
    <w:rsid w:val="00F915A6"/>
    <w:rsid w:val="00F9186B"/>
    <w:rsid w:val="00F9188D"/>
    <w:rsid w:val="00F918B9"/>
    <w:rsid w:val="00F919B5"/>
    <w:rsid w:val="00F91A81"/>
    <w:rsid w:val="00F91AEE"/>
    <w:rsid w:val="00F91D0D"/>
    <w:rsid w:val="00F91D9F"/>
    <w:rsid w:val="00F92045"/>
    <w:rsid w:val="00F9222C"/>
    <w:rsid w:val="00F923C7"/>
    <w:rsid w:val="00F9255F"/>
    <w:rsid w:val="00F929AD"/>
    <w:rsid w:val="00F92A17"/>
    <w:rsid w:val="00F92A55"/>
    <w:rsid w:val="00F9314E"/>
    <w:rsid w:val="00F9328D"/>
    <w:rsid w:val="00F932AB"/>
    <w:rsid w:val="00F93388"/>
    <w:rsid w:val="00F934D5"/>
    <w:rsid w:val="00F93581"/>
    <w:rsid w:val="00F93657"/>
    <w:rsid w:val="00F9395C"/>
    <w:rsid w:val="00F93A15"/>
    <w:rsid w:val="00F93AE8"/>
    <w:rsid w:val="00F93C3E"/>
    <w:rsid w:val="00F93CB8"/>
    <w:rsid w:val="00F93DC1"/>
    <w:rsid w:val="00F93E44"/>
    <w:rsid w:val="00F93F6A"/>
    <w:rsid w:val="00F94156"/>
    <w:rsid w:val="00F943A6"/>
    <w:rsid w:val="00F944BA"/>
    <w:rsid w:val="00F946CF"/>
    <w:rsid w:val="00F947BA"/>
    <w:rsid w:val="00F94852"/>
    <w:rsid w:val="00F94D47"/>
    <w:rsid w:val="00F94E26"/>
    <w:rsid w:val="00F94F12"/>
    <w:rsid w:val="00F95047"/>
    <w:rsid w:val="00F95139"/>
    <w:rsid w:val="00F952B8"/>
    <w:rsid w:val="00F95325"/>
    <w:rsid w:val="00F9549B"/>
    <w:rsid w:val="00F95563"/>
    <w:rsid w:val="00F956CD"/>
    <w:rsid w:val="00F95AD6"/>
    <w:rsid w:val="00F95AE3"/>
    <w:rsid w:val="00F95B57"/>
    <w:rsid w:val="00F95D5F"/>
    <w:rsid w:val="00F95DE3"/>
    <w:rsid w:val="00F95FAB"/>
    <w:rsid w:val="00F9601C"/>
    <w:rsid w:val="00F96103"/>
    <w:rsid w:val="00F96775"/>
    <w:rsid w:val="00F968F3"/>
    <w:rsid w:val="00F96ABC"/>
    <w:rsid w:val="00F96B35"/>
    <w:rsid w:val="00F96C27"/>
    <w:rsid w:val="00F96DC9"/>
    <w:rsid w:val="00F96F5B"/>
    <w:rsid w:val="00F96FC6"/>
    <w:rsid w:val="00F96FE7"/>
    <w:rsid w:val="00F9717B"/>
    <w:rsid w:val="00F97219"/>
    <w:rsid w:val="00F9726C"/>
    <w:rsid w:val="00F9728F"/>
    <w:rsid w:val="00F9734D"/>
    <w:rsid w:val="00F97390"/>
    <w:rsid w:val="00F973F3"/>
    <w:rsid w:val="00F97418"/>
    <w:rsid w:val="00F974A8"/>
    <w:rsid w:val="00F97673"/>
    <w:rsid w:val="00F976B3"/>
    <w:rsid w:val="00F9785A"/>
    <w:rsid w:val="00F97913"/>
    <w:rsid w:val="00F979AB"/>
    <w:rsid w:val="00F97CC8"/>
    <w:rsid w:val="00F97DDA"/>
    <w:rsid w:val="00F97E8D"/>
    <w:rsid w:val="00F97EB1"/>
    <w:rsid w:val="00F97F1D"/>
    <w:rsid w:val="00FA0152"/>
    <w:rsid w:val="00FA02F5"/>
    <w:rsid w:val="00FA046C"/>
    <w:rsid w:val="00FA0863"/>
    <w:rsid w:val="00FA08FC"/>
    <w:rsid w:val="00FA0A91"/>
    <w:rsid w:val="00FA0AE6"/>
    <w:rsid w:val="00FA0B9B"/>
    <w:rsid w:val="00FA0C0A"/>
    <w:rsid w:val="00FA0DC7"/>
    <w:rsid w:val="00FA0ECE"/>
    <w:rsid w:val="00FA0FBE"/>
    <w:rsid w:val="00FA1220"/>
    <w:rsid w:val="00FA1363"/>
    <w:rsid w:val="00FA1441"/>
    <w:rsid w:val="00FA1690"/>
    <w:rsid w:val="00FA181F"/>
    <w:rsid w:val="00FA1890"/>
    <w:rsid w:val="00FA1A15"/>
    <w:rsid w:val="00FA1E08"/>
    <w:rsid w:val="00FA21D3"/>
    <w:rsid w:val="00FA2388"/>
    <w:rsid w:val="00FA2454"/>
    <w:rsid w:val="00FA24A6"/>
    <w:rsid w:val="00FA25F7"/>
    <w:rsid w:val="00FA267E"/>
    <w:rsid w:val="00FA2857"/>
    <w:rsid w:val="00FA28C9"/>
    <w:rsid w:val="00FA2A49"/>
    <w:rsid w:val="00FA2AB8"/>
    <w:rsid w:val="00FA2D12"/>
    <w:rsid w:val="00FA2DDE"/>
    <w:rsid w:val="00FA2E69"/>
    <w:rsid w:val="00FA3130"/>
    <w:rsid w:val="00FA32B7"/>
    <w:rsid w:val="00FA32D2"/>
    <w:rsid w:val="00FA3A42"/>
    <w:rsid w:val="00FA3A74"/>
    <w:rsid w:val="00FA3A81"/>
    <w:rsid w:val="00FA3D10"/>
    <w:rsid w:val="00FA3E31"/>
    <w:rsid w:val="00FA40F0"/>
    <w:rsid w:val="00FA44D4"/>
    <w:rsid w:val="00FA44EF"/>
    <w:rsid w:val="00FA457F"/>
    <w:rsid w:val="00FA45FB"/>
    <w:rsid w:val="00FA475C"/>
    <w:rsid w:val="00FA489C"/>
    <w:rsid w:val="00FA48FC"/>
    <w:rsid w:val="00FA48FD"/>
    <w:rsid w:val="00FA4BE1"/>
    <w:rsid w:val="00FA4E46"/>
    <w:rsid w:val="00FA531B"/>
    <w:rsid w:val="00FA5637"/>
    <w:rsid w:val="00FA5960"/>
    <w:rsid w:val="00FA5D12"/>
    <w:rsid w:val="00FA5D40"/>
    <w:rsid w:val="00FA5EB5"/>
    <w:rsid w:val="00FA6068"/>
    <w:rsid w:val="00FA62D9"/>
    <w:rsid w:val="00FA6390"/>
    <w:rsid w:val="00FA6393"/>
    <w:rsid w:val="00FA63B2"/>
    <w:rsid w:val="00FA63F6"/>
    <w:rsid w:val="00FA64F5"/>
    <w:rsid w:val="00FA668C"/>
    <w:rsid w:val="00FA6C4A"/>
    <w:rsid w:val="00FA6CE5"/>
    <w:rsid w:val="00FA6D96"/>
    <w:rsid w:val="00FA6F67"/>
    <w:rsid w:val="00FA71C0"/>
    <w:rsid w:val="00FA7287"/>
    <w:rsid w:val="00FA7419"/>
    <w:rsid w:val="00FA7BF7"/>
    <w:rsid w:val="00FA7C05"/>
    <w:rsid w:val="00FA7D0F"/>
    <w:rsid w:val="00FB041D"/>
    <w:rsid w:val="00FB042D"/>
    <w:rsid w:val="00FB0536"/>
    <w:rsid w:val="00FB063B"/>
    <w:rsid w:val="00FB083E"/>
    <w:rsid w:val="00FB0847"/>
    <w:rsid w:val="00FB0890"/>
    <w:rsid w:val="00FB0A09"/>
    <w:rsid w:val="00FB0A2C"/>
    <w:rsid w:val="00FB0BB9"/>
    <w:rsid w:val="00FB0E9A"/>
    <w:rsid w:val="00FB1415"/>
    <w:rsid w:val="00FB1456"/>
    <w:rsid w:val="00FB14D6"/>
    <w:rsid w:val="00FB15C2"/>
    <w:rsid w:val="00FB162D"/>
    <w:rsid w:val="00FB187D"/>
    <w:rsid w:val="00FB1C84"/>
    <w:rsid w:val="00FB1F99"/>
    <w:rsid w:val="00FB2083"/>
    <w:rsid w:val="00FB20D2"/>
    <w:rsid w:val="00FB23AE"/>
    <w:rsid w:val="00FB24F4"/>
    <w:rsid w:val="00FB2650"/>
    <w:rsid w:val="00FB2A16"/>
    <w:rsid w:val="00FB2B6A"/>
    <w:rsid w:val="00FB2E19"/>
    <w:rsid w:val="00FB2EA0"/>
    <w:rsid w:val="00FB2EB6"/>
    <w:rsid w:val="00FB2FF6"/>
    <w:rsid w:val="00FB35A2"/>
    <w:rsid w:val="00FB3A37"/>
    <w:rsid w:val="00FB3B82"/>
    <w:rsid w:val="00FB3D9D"/>
    <w:rsid w:val="00FB3E32"/>
    <w:rsid w:val="00FB3E44"/>
    <w:rsid w:val="00FB3E9F"/>
    <w:rsid w:val="00FB3F77"/>
    <w:rsid w:val="00FB40DD"/>
    <w:rsid w:val="00FB4120"/>
    <w:rsid w:val="00FB43DE"/>
    <w:rsid w:val="00FB43FF"/>
    <w:rsid w:val="00FB47AC"/>
    <w:rsid w:val="00FB481D"/>
    <w:rsid w:val="00FB4A0F"/>
    <w:rsid w:val="00FB4E60"/>
    <w:rsid w:val="00FB4F81"/>
    <w:rsid w:val="00FB517A"/>
    <w:rsid w:val="00FB5611"/>
    <w:rsid w:val="00FB57A4"/>
    <w:rsid w:val="00FB5954"/>
    <w:rsid w:val="00FB5974"/>
    <w:rsid w:val="00FB5985"/>
    <w:rsid w:val="00FB59E4"/>
    <w:rsid w:val="00FB5C71"/>
    <w:rsid w:val="00FB5CAE"/>
    <w:rsid w:val="00FB5EBE"/>
    <w:rsid w:val="00FB5F45"/>
    <w:rsid w:val="00FB600E"/>
    <w:rsid w:val="00FB61B6"/>
    <w:rsid w:val="00FB63AB"/>
    <w:rsid w:val="00FB64FE"/>
    <w:rsid w:val="00FB6709"/>
    <w:rsid w:val="00FB685E"/>
    <w:rsid w:val="00FB68CC"/>
    <w:rsid w:val="00FB6A64"/>
    <w:rsid w:val="00FB6E71"/>
    <w:rsid w:val="00FB7561"/>
    <w:rsid w:val="00FB77F4"/>
    <w:rsid w:val="00FB7875"/>
    <w:rsid w:val="00FB7927"/>
    <w:rsid w:val="00FB79D8"/>
    <w:rsid w:val="00FB7D1F"/>
    <w:rsid w:val="00FB7DD0"/>
    <w:rsid w:val="00FB7F96"/>
    <w:rsid w:val="00FC0492"/>
    <w:rsid w:val="00FC04E5"/>
    <w:rsid w:val="00FC05A2"/>
    <w:rsid w:val="00FC075D"/>
    <w:rsid w:val="00FC07B2"/>
    <w:rsid w:val="00FC098A"/>
    <w:rsid w:val="00FC0A0F"/>
    <w:rsid w:val="00FC0A7E"/>
    <w:rsid w:val="00FC0C31"/>
    <w:rsid w:val="00FC0DDF"/>
    <w:rsid w:val="00FC1072"/>
    <w:rsid w:val="00FC1187"/>
    <w:rsid w:val="00FC11E9"/>
    <w:rsid w:val="00FC1243"/>
    <w:rsid w:val="00FC1282"/>
    <w:rsid w:val="00FC1346"/>
    <w:rsid w:val="00FC15EA"/>
    <w:rsid w:val="00FC1681"/>
    <w:rsid w:val="00FC1AA8"/>
    <w:rsid w:val="00FC1ABE"/>
    <w:rsid w:val="00FC1C86"/>
    <w:rsid w:val="00FC1C92"/>
    <w:rsid w:val="00FC1CA1"/>
    <w:rsid w:val="00FC1F66"/>
    <w:rsid w:val="00FC2223"/>
    <w:rsid w:val="00FC2279"/>
    <w:rsid w:val="00FC233C"/>
    <w:rsid w:val="00FC2358"/>
    <w:rsid w:val="00FC250B"/>
    <w:rsid w:val="00FC2903"/>
    <w:rsid w:val="00FC2D0C"/>
    <w:rsid w:val="00FC2D5B"/>
    <w:rsid w:val="00FC2FD6"/>
    <w:rsid w:val="00FC322C"/>
    <w:rsid w:val="00FC32F8"/>
    <w:rsid w:val="00FC335B"/>
    <w:rsid w:val="00FC360F"/>
    <w:rsid w:val="00FC396C"/>
    <w:rsid w:val="00FC39C3"/>
    <w:rsid w:val="00FC3AE6"/>
    <w:rsid w:val="00FC3D2C"/>
    <w:rsid w:val="00FC4010"/>
    <w:rsid w:val="00FC4019"/>
    <w:rsid w:val="00FC40CD"/>
    <w:rsid w:val="00FC4148"/>
    <w:rsid w:val="00FC455B"/>
    <w:rsid w:val="00FC45B9"/>
    <w:rsid w:val="00FC4BB2"/>
    <w:rsid w:val="00FC4BFD"/>
    <w:rsid w:val="00FC4CA3"/>
    <w:rsid w:val="00FC4E62"/>
    <w:rsid w:val="00FC5145"/>
    <w:rsid w:val="00FC5176"/>
    <w:rsid w:val="00FC51DE"/>
    <w:rsid w:val="00FC5558"/>
    <w:rsid w:val="00FC5A17"/>
    <w:rsid w:val="00FC5C92"/>
    <w:rsid w:val="00FC5CE3"/>
    <w:rsid w:val="00FC5D46"/>
    <w:rsid w:val="00FC5E73"/>
    <w:rsid w:val="00FC5EA6"/>
    <w:rsid w:val="00FC5F3D"/>
    <w:rsid w:val="00FC5FD2"/>
    <w:rsid w:val="00FC6035"/>
    <w:rsid w:val="00FC6092"/>
    <w:rsid w:val="00FC60CB"/>
    <w:rsid w:val="00FC615E"/>
    <w:rsid w:val="00FC6221"/>
    <w:rsid w:val="00FC66DB"/>
    <w:rsid w:val="00FC6766"/>
    <w:rsid w:val="00FC67A5"/>
    <w:rsid w:val="00FC67FB"/>
    <w:rsid w:val="00FC6A57"/>
    <w:rsid w:val="00FC6BC7"/>
    <w:rsid w:val="00FC6C6B"/>
    <w:rsid w:val="00FC6E05"/>
    <w:rsid w:val="00FC6E66"/>
    <w:rsid w:val="00FC6EC9"/>
    <w:rsid w:val="00FC6EF5"/>
    <w:rsid w:val="00FC6F44"/>
    <w:rsid w:val="00FC70B4"/>
    <w:rsid w:val="00FC7392"/>
    <w:rsid w:val="00FC7512"/>
    <w:rsid w:val="00FC7525"/>
    <w:rsid w:val="00FC7611"/>
    <w:rsid w:val="00FC7730"/>
    <w:rsid w:val="00FC77C4"/>
    <w:rsid w:val="00FC781C"/>
    <w:rsid w:val="00FC7890"/>
    <w:rsid w:val="00FC7A0E"/>
    <w:rsid w:val="00FC7B15"/>
    <w:rsid w:val="00FC7B1B"/>
    <w:rsid w:val="00FD03D1"/>
    <w:rsid w:val="00FD044E"/>
    <w:rsid w:val="00FD0730"/>
    <w:rsid w:val="00FD0759"/>
    <w:rsid w:val="00FD079F"/>
    <w:rsid w:val="00FD08DB"/>
    <w:rsid w:val="00FD0CA2"/>
    <w:rsid w:val="00FD0E5B"/>
    <w:rsid w:val="00FD0F7C"/>
    <w:rsid w:val="00FD12E7"/>
    <w:rsid w:val="00FD13A5"/>
    <w:rsid w:val="00FD1427"/>
    <w:rsid w:val="00FD1820"/>
    <w:rsid w:val="00FD1B24"/>
    <w:rsid w:val="00FD1B73"/>
    <w:rsid w:val="00FD1BAB"/>
    <w:rsid w:val="00FD1C99"/>
    <w:rsid w:val="00FD1D24"/>
    <w:rsid w:val="00FD1EE1"/>
    <w:rsid w:val="00FD245B"/>
    <w:rsid w:val="00FD253B"/>
    <w:rsid w:val="00FD2669"/>
    <w:rsid w:val="00FD26FF"/>
    <w:rsid w:val="00FD27A5"/>
    <w:rsid w:val="00FD27D6"/>
    <w:rsid w:val="00FD2939"/>
    <w:rsid w:val="00FD294E"/>
    <w:rsid w:val="00FD2AB4"/>
    <w:rsid w:val="00FD2D1D"/>
    <w:rsid w:val="00FD2D2B"/>
    <w:rsid w:val="00FD3066"/>
    <w:rsid w:val="00FD3254"/>
    <w:rsid w:val="00FD346F"/>
    <w:rsid w:val="00FD34FB"/>
    <w:rsid w:val="00FD356F"/>
    <w:rsid w:val="00FD37A6"/>
    <w:rsid w:val="00FD3855"/>
    <w:rsid w:val="00FD3893"/>
    <w:rsid w:val="00FD3909"/>
    <w:rsid w:val="00FD391D"/>
    <w:rsid w:val="00FD3A47"/>
    <w:rsid w:val="00FD3B70"/>
    <w:rsid w:val="00FD3BB4"/>
    <w:rsid w:val="00FD3D0F"/>
    <w:rsid w:val="00FD3E96"/>
    <w:rsid w:val="00FD4228"/>
    <w:rsid w:val="00FD427B"/>
    <w:rsid w:val="00FD427C"/>
    <w:rsid w:val="00FD442A"/>
    <w:rsid w:val="00FD4495"/>
    <w:rsid w:val="00FD45A0"/>
    <w:rsid w:val="00FD461C"/>
    <w:rsid w:val="00FD48B3"/>
    <w:rsid w:val="00FD49BA"/>
    <w:rsid w:val="00FD4AE4"/>
    <w:rsid w:val="00FD4AFE"/>
    <w:rsid w:val="00FD4EF7"/>
    <w:rsid w:val="00FD53A8"/>
    <w:rsid w:val="00FD5564"/>
    <w:rsid w:val="00FD57DB"/>
    <w:rsid w:val="00FD57DE"/>
    <w:rsid w:val="00FD5957"/>
    <w:rsid w:val="00FD5A72"/>
    <w:rsid w:val="00FD5AC3"/>
    <w:rsid w:val="00FD5B01"/>
    <w:rsid w:val="00FD5C43"/>
    <w:rsid w:val="00FD5E7D"/>
    <w:rsid w:val="00FD5ED6"/>
    <w:rsid w:val="00FD60B1"/>
    <w:rsid w:val="00FD636B"/>
    <w:rsid w:val="00FD63C8"/>
    <w:rsid w:val="00FD6718"/>
    <w:rsid w:val="00FD6857"/>
    <w:rsid w:val="00FD6931"/>
    <w:rsid w:val="00FD6972"/>
    <w:rsid w:val="00FD6B11"/>
    <w:rsid w:val="00FD6B27"/>
    <w:rsid w:val="00FD6C5E"/>
    <w:rsid w:val="00FD6DDD"/>
    <w:rsid w:val="00FD706E"/>
    <w:rsid w:val="00FD71C6"/>
    <w:rsid w:val="00FD72A6"/>
    <w:rsid w:val="00FD72E2"/>
    <w:rsid w:val="00FD73A5"/>
    <w:rsid w:val="00FD7588"/>
    <w:rsid w:val="00FD7591"/>
    <w:rsid w:val="00FD789F"/>
    <w:rsid w:val="00FD7AA4"/>
    <w:rsid w:val="00FD7AE8"/>
    <w:rsid w:val="00FD7B7E"/>
    <w:rsid w:val="00FD7D6D"/>
    <w:rsid w:val="00FD7E9E"/>
    <w:rsid w:val="00FD7FA1"/>
    <w:rsid w:val="00FE0194"/>
    <w:rsid w:val="00FE01D8"/>
    <w:rsid w:val="00FE0428"/>
    <w:rsid w:val="00FE0456"/>
    <w:rsid w:val="00FE07D8"/>
    <w:rsid w:val="00FE0802"/>
    <w:rsid w:val="00FE0865"/>
    <w:rsid w:val="00FE09F8"/>
    <w:rsid w:val="00FE0AE1"/>
    <w:rsid w:val="00FE0B51"/>
    <w:rsid w:val="00FE0BE9"/>
    <w:rsid w:val="00FE0FCF"/>
    <w:rsid w:val="00FE117D"/>
    <w:rsid w:val="00FE11A1"/>
    <w:rsid w:val="00FE11D5"/>
    <w:rsid w:val="00FE1322"/>
    <w:rsid w:val="00FE1356"/>
    <w:rsid w:val="00FE1363"/>
    <w:rsid w:val="00FE143A"/>
    <w:rsid w:val="00FE14FD"/>
    <w:rsid w:val="00FE1501"/>
    <w:rsid w:val="00FE1508"/>
    <w:rsid w:val="00FE1692"/>
    <w:rsid w:val="00FE1B7F"/>
    <w:rsid w:val="00FE1E3B"/>
    <w:rsid w:val="00FE2131"/>
    <w:rsid w:val="00FE237E"/>
    <w:rsid w:val="00FE25F5"/>
    <w:rsid w:val="00FE279E"/>
    <w:rsid w:val="00FE292C"/>
    <w:rsid w:val="00FE29B7"/>
    <w:rsid w:val="00FE2B5E"/>
    <w:rsid w:val="00FE2BB0"/>
    <w:rsid w:val="00FE2BD2"/>
    <w:rsid w:val="00FE2D51"/>
    <w:rsid w:val="00FE2FAC"/>
    <w:rsid w:val="00FE31BA"/>
    <w:rsid w:val="00FE336A"/>
    <w:rsid w:val="00FE373F"/>
    <w:rsid w:val="00FE3AB3"/>
    <w:rsid w:val="00FE3AF8"/>
    <w:rsid w:val="00FE3B13"/>
    <w:rsid w:val="00FE3CB4"/>
    <w:rsid w:val="00FE3EA6"/>
    <w:rsid w:val="00FE3F4C"/>
    <w:rsid w:val="00FE4222"/>
    <w:rsid w:val="00FE429D"/>
    <w:rsid w:val="00FE437F"/>
    <w:rsid w:val="00FE4450"/>
    <w:rsid w:val="00FE454F"/>
    <w:rsid w:val="00FE460F"/>
    <w:rsid w:val="00FE4664"/>
    <w:rsid w:val="00FE4951"/>
    <w:rsid w:val="00FE4A73"/>
    <w:rsid w:val="00FE4AE3"/>
    <w:rsid w:val="00FE4F99"/>
    <w:rsid w:val="00FE4FE8"/>
    <w:rsid w:val="00FE50DD"/>
    <w:rsid w:val="00FE52C4"/>
    <w:rsid w:val="00FE53BC"/>
    <w:rsid w:val="00FE5567"/>
    <w:rsid w:val="00FE5637"/>
    <w:rsid w:val="00FE5804"/>
    <w:rsid w:val="00FE58CC"/>
    <w:rsid w:val="00FE5940"/>
    <w:rsid w:val="00FE5959"/>
    <w:rsid w:val="00FE5AA5"/>
    <w:rsid w:val="00FE5B50"/>
    <w:rsid w:val="00FE5C4B"/>
    <w:rsid w:val="00FE6024"/>
    <w:rsid w:val="00FE609C"/>
    <w:rsid w:val="00FE613B"/>
    <w:rsid w:val="00FE633E"/>
    <w:rsid w:val="00FE64EE"/>
    <w:rsid w:val="00FE65DC"/>
    <w:rsid w:val="00FE66F2"/>
    <w:rsid w:val="00FE6747"/>
    <w:rsid w:val="00FE6867"/>
    <w:rsid w:val="00FE6A3B"/>
    <w:rsid w:val="00FE6BCA"/>
    <w:rsid w:val="00FE6C01"/>
    <w:rsid w:val="00FE6C2F"/>
    <w:rsid w:val="00FE71FE"/>
    <w:rsid w:val="00FE721B"/>
    <w:rsid w:val="00FE7295"/>
    <w:rsid w:val="00FE741D"/>
    <w:rsid w:val="00FE75EC"/>
    <w:rsid w:val="00FE76EF"/>
    <w:rsid w:val="00FE7741"/>
    <w:rsid w:val="00FE78A4"/>
    <w:rsid w:val="00FE7A56"/>
    <w:rsid w:val="00FF0560"/>
    <w:rsid w:val="00FF07E0"/>
    <w:rsid w:val="00FF0829"/>
    <w:rsid w:val="00FF09B3"/>
    <w:rsid w:val="00FF0A17"/>
    <w:rsid w:val="00FF0AD5"/>
    <w:rsid w:val="00FF0C48"/>
    <w:rsid w:val="00FF0E94"/>
    <w:rsid w:val="00FF10B2"/>
    <w:rsid w:val="00FF10C8"/>
    <w:rsid w:val="00FF1294"/>
    <w:rsid w:val="00FF12C0"/>
    <w:rsid w:val="00FF142C"/>
    <w:rsid w:val="00FF15C5"/>
    <w:rsid w:val="00FF1638"/>
    <w:rsid w:val="00FF1720"/>
    <w:rsid w:val="00FF1A87"/>
    <w:rsid w:val="00FF1AEC"/>
    <w:rsid w:val="00FF1D77"/>
    <w:rsid w:val="00FF2176"/>
    <w:rsid w:val="00FF2441"/>
    <w:rsid w:val="00FF2602"/>
    <w:rsid w:val="00FF2724"/>
    <w:rsid w:val="00FF2881"/>
    <w:rsid w:val="00FF2A21"/>
    <w:rsid w:val="00FF32D8"/>
    <w:rsid w:val="00FF3680"/>
    <w:rsid w:val="00FF36BD"/>
    <w:rsid w:val="00FF3AC0"/>
    <w:rsid w:val="00FF3F67"/>
    <w:rsid w:val="00FF400B"/>
    <w:rsid w:val="00FF41DF"/>
    <w:rsid w:val="00FF443A"/>
    <w:rsid w:val="00FF46EF"/>
    <w:rsid w:val="00FF4772"/>
    <w:rsid w:val="00FF4E68"/>
    <w:rsid w:val="00FF4EF8"/>
    <w:rsid w:val="00FF504A"/>
    <w:rsid w:val="00FF50E8"/>
    <w:rsid w:val="00FF5141"/>
    <w:rsid w:val="00FF51CF"/>
    <w:rsid w:val="00FF5633"/>
    <w:rsid w:val="00FF56D9"/>
    <w:rsid w:val="00FF5843"/>
    <w:rsid w:val="00FF5A93"/>
    <w:rsid w:val="00FF5B1F"/>
    <w:rsid w:val="00FF5C9C"/>
    <w:rsid w:val="00FF6049"/>
    <w:rsid w:val="00FF625D"/>
    <w:rsid w:val="00FF628E"/>
    <w:rsid w:val="00FF6AE7"/>
    <w:rsid w:val="00FF6BE0"/>
    <w:rsid w:val="00FF6CF5"/>
    <w:rsid w:val="00FF6F5C"/>
    <w:rsid w:val="00FF7263"/>
    <w:rsid w:val="00FF7327"/>
    <w:rsid w:val="00FF78F9"/>
    <w:rsid w:val="00FF7946"/>
    <w:rsid w:val="00FF7958"/>
    <w:rsid w:val="00FF7AB2"/>
    <w:rsid w:val="00FF7D90"/>
    <w:rsid w:val="00FF7E95"/>
    <w:rsid w:val="00FF7F8D"/>
    <w:rsid w:val="036A6E51"/>
    <w:rsid w:val="0723239F"/>
    <w:rsid w:val="08F655F4"/>
    <w:rsid w:val="0BEC6917"/>
    <w:rsid w:val="0C0A764E"/>
    <w:rsid w:val="10865E88"/>
    <w:rsid w:val="111331E7"/>
    <w:rsid w:val="16FA4D05"/>
    <w:rsid w:val="1B4C0146"/>
    <w:rsid w:val="1F2953BF"/>
    <w:rsid w:val="1F7B7BE5"/>
    <w:rsid w:val="213E0A56"/>
    <w:rsid w:val="22AD2076"/>
    <w:rsid w:val="22EA71B8"/>
    <w:rsid w:val="27800448"/>
    <w:rsid w:val="29DC365D"/>
    <w:rsid w:val="316E12F8"/>
    <w:rsid w:val="33EE0BB0"/>
    <w:rsid w:val="37B371B8"/>
    <w:rsid w:val="3AB30E5D"/>
    <w:rsid w:val="3F5B54CD"/>
    <w:rsid w:val="3FA644F2"/>
    <w:rsid w:val="42420C57"/>
    <w:rsid w:val="43151FA6"/>
    <w:rsid w:val="44F262FB"/>
    <w:rsid w:val="497E781B"/>
    <w:rsid w:val="4D027739"/>
    <w:rsid w:val="4E1F4272"/>
    <w:rsid w:val="4EC36198"/>
    <w:rsid w:val="503F3BC6"/>
    <w:rsid w:val="50DF1D1A"/>
    <w:rsid w:val="51450497"/>
    <w:rsid w:val="51D356B8"/>
    <w:rsid w:val="571807C7"/>
    <w:rsid w:val="577708FE"/>
    <w:rsid w:val="57F8668E"/>
    <w:rsid w:val="5A0013FC"/>
    <w:rsid w:val="5E9D3993"/>
    <w:rsid w:val="60E94998"/>
    <w:rsid w:val="649C4AC7"/>
    <w:rsid w:val="674B46FF"/>
    <w:rsid w:val="68242759"/>
    <w:rsid w:val="6C427E43"/>
    <w:rsid w:val="6EA16457"/>
    <w:rsid w:val="6EE84D49"/>
    <w:rsid w:val="6F450986"/>
    <w:rsid w:val="717961C9"/>
    <w:rsid w:val="71B72890"/>
    <w:rsid w:val="745F51F3"/>
    <w:rsid w:val="75137E9C"/>
    <w:rsid w:val="753D12FE"/>
    <w:rsid w:val="762F7A44"/>
    <w:rsid w:val="77D50ADE"/>
    <w:rsid w:val="7BF95C82"/>
    <w:rsid w:val="7F335F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1"/>
      <o:rules v:ext="edit">
        <o:r id="V:Rule1" type="connector" idref="#直接箭头连接符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semiHidden="0"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semiHidden="0" w:uiPriority="39" w:qFormat="1"/>
    <w:lsdException w:name="toc 5" w:semiHidden="0" w:uiPriority="39" w:qFormat="1"/>
    <w:lsdException w:name="toc 6" w:semiHidden="0" w:uiPriority="39" w:qFormat="1"/>
    <w:lsdException w:name="toc 7" w:semiHidden="0" w:uiPriority="39" w:qFormat="1"/>
    <w:lsdException w:name="toc 8" w:semiHidden="0" w:uiPriority="39" w:qFormat="1"/>
    <w:lsdException w:name="toc 9" w:semiHidden="0" w:uiPriority="39" w:qFormat="1"/>
    <w:lsdException w:name="annotation text" w:semiHidden="0" w:uiPriority="0" w:unhideWhenUsed="0" w:qFormat="1"/>
    <w:lsdException w:name="header" w:semiHidden="0" w:qFormat="1"/>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lsdException w:name="Body Text" w:semiHidden="0" w:uiPriority="1" w:unhideWhenUsed="0" w:qFormat="1"/>
    <w:lsdException w:name="Subtitle" w:semiHidden="0" w:uiPriority="11" w:unhideWhenUsed="0" w:qFormat="1"/>
    <w:lsdException w:name="Date" w:qFormat="1"/>
    <w:lsdException w:name="Hyperlink" w:semiHidden="0" w:qFormat="1"/>
    <w:lsdException w:name="FollowedHyperlink"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5">
    <w:name w:val="Normal"/>
    <w:qFormat/>
    <w:rsid w:val="000F24AC"/>
    <w:pPr>
      <w:widowControl w:val="0"/>
      <w:jc w:val="both"/>
    </w:pPr>
    <w:rPr>
      <w:kern w:val="2"/>
      <w:sz w:val="21"/>
      <w:szCs w:val="22"/>
    </w:rPr>
  </w:style>
  <w:style w:type="paragraph" w:styleId="1">
    <w:name w:val="heading 1"/>
    <w:basedOn w:val="a6"/>
    <w:next w:val="a5"/>
    <w:link w:val="1Char"/>
    <w:uiPriority w:val="9"/>
    <w:qFormat/>
    <w:rsid w:val="000F24AC"/>
    <w:pPr>
      <w:numPr>
        <w:numId w:val="1"/>
      </w:numPr>
      <w:spacing w:line="360" w:lineRule="auto"/>
      <w:ind w:rightChars="-34" w:right="-71"/>
      <w:jc w:val="center"/>
      <w:outlineLvl w:val="0"/>
    </w:pPr>
    <w:rPr>
      <w:rFonts w:asciiTheme="minorEastAsia" w:hAnsiTheme="minorEastAsia" w:cstheme="minorEastAsia"/>
      <w:b/>
      <w:bCs/>
      <w:szCs w:val="24"/>
    </w:rPr>
  </w:style>
  <w:style w:type="paragraph" w:styleId="2">
    <w:name w:val="heading 2"/>
    <w:basedOn w:val="a5"/>
    <w:next w:val="a5"/>
    <w:link w:val="2Char"/>
    <w:uiPriority w:val="9"/>
    <w:unhideWhenUsed/>
    <w:qFormat/>
    <w:rsid w:val="000F24AC"/>
    <w:pPr>
      <w:numPr>
        <w:ilvl w:val="1"/>
        <w:numId w:val="2"/>
      </w:numPr>
      <w:tabs>
        <w:tab w:val="left" w:pos="142"/>
      </w:tabs>
      <w:spacing w:beforeLines="50" w:line="360" w:lineRule="auto"/>
      <w:ind w:rightChars="-34" w:right="-71"/>
      <w:jc w:val="center"/>
      <w:outlineLvl w:val="1"/>
    </w:pPr>
    <w:rPr>
      <w:rFonts w:asciiTheme="minorEastAsia" w:hAnsiTheme="minorEastAsia" w:cstheme="minorEastAsia"/>
      <w:b/>
      <w:szCs w:val="24"/>
    </w:rPr>
  </w:style>
  <w:style w:type="paragraph" w:styleId="3">
    <w:name w:val="heading 3"/>
    <w:basedOn w:val="a5"/>
    <w:next w:val="a5"/>
    <w:link w:val="3Char"/>
    <w:uiPriority w:val="9"/>
    <w:unhideWhenUsed/>
    <w:qFormat/>
    <w:rsid w:val="000F24AC"/>
    <w:pPr>
      <w:numPr>
        <w:ilvl w:val="2"/>
        <w:numId w:val="2"/>
      </w:numPr>
      <w:spacing w:line="360" w:lineRule="auto"/>
      <w:ind w:rightChars="-34" w:right="-71"/>
      <w:outlineLvl w:val="2"/>
    </w:pPr>
    <w:rPr>
      <w:rFonts w:asciiTheme="minorEastAsia" w:hAnsiTheme="minorEastAsia" w:cstheme="minorEastAsia"/>
      <w:szCs w:val="24"/>
    </w:rPr>
  </w:style>
  <w:style w:type="paragraph" w:styleId="4">
    <w:name w:val="heading 4"/>
    <w:basedOn w:val="3"/>
    <w:next w:val="a5"/>
    <w:link w:val="4Char"/>
    <w:uiPriority w:val="9"/>
    <w:unhideWhenUsed/>
    <w:qFormat/>
    <w:rsid w:val="000F24AC"/>
    <w:pPr>
      <w:numPr>
        <w:numId w:val="3"/>
      </w:numPr>
      <w:outlineLvl w:val="3"/>
    </w:pPr>
  </w:style>
  <w:style w:type="paragraph" w:styleId="5">
    <w:name w:val="heading 5"/>
    <w:basedOn w:val="a5"/>
    <w:next w:val="a5"/>
    <w:link w:val="5Char"/>
    <w:uiPriority w:val="9"/>
    <w:semiHidden/>
    <w:unhideWhenUsed/>
    <w:qFormat/>
    <w:rsid w:val="000F24AC"/>
    <w:pPr>
      <w:keepNext/>
      <w:keepLines/>
      <w:spacing w:before="280" w:after="290" w:line="376" w:lineRule="auto"/>
      <w:outlineLvl w:val="4"/>
    </w:pPr>
    <w:rPr>
      <w:b/>
      <w:bCs/>
      <w:sz w:val="28"/>
      <w:szCs w:val="28"/>
    </w:rPr>
  </w:style>
  <w:style w:type="paragraph" w:styleId="6">
    <w:name w:val="heading 6"/>
    <w:basedOn w:val="a5"/>
    <w:next w:val="a5"/>
    <w:link w:val="6Char"/>
    <w:uiPriority w:val="9"/>
    <w:semiHidden/>
    <w:unhideWhenUsed/>
    <w:qFormat/>
    <w:rsid w:val="000F24AC"/>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5"/>
    <w:next w:val="a5"/>
    <w:link w:val="7Char"/>
    <w:uiPriority w:val="9"/>
    <w:semiHidden/>
    <w:unhideWhenUsed/>
    <w:qFormat/>
    <w:rsid w:val="000F24AC"/>
    <w:pPr>
      <w:keepNext/>
      <w:keepLines/>
      <w:spacing w:before="240" w:after="64" w:line="320" w:lineRule="auto"/>
      <w:outlineLvl w:val="6"/>
    </w:pPr>
    <w:rPr>
      <w:b/>
      <w:bCs/>
      <w:sz w:val="24"/>
      <w:szCs w:val="24"/>
    </w:rPr>
  </w:style>
  <w:style w:type="paragraph" w:styleId="8">
    <w:name w:val="heading 8"/>
    <w:basedOn w:val="a5"/>
    <w:next w:val="a5"/>
    <w:link w:val="8Char"/>
    <w:uiPriority w:val="9"/>
    <w:semiHidden/>
    <w:unhideWhenUsed/>
    <w:qFormat/>
    <w:rsid w:val="000F24AC"/>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5"/>
    <w:next w:val="a5"/>
    <w:link w:val="9Char"/>
    <w:uiPriority w:val="9"/>
    <w:semiHidden/>
    <w:unhideWhenUsed/>
    <w:qFormat/>
    <w:rsid w:val="000F24AC"/>
    <w:pPr>
      <w:keepNext/>
      <w:keepLines/>
      <w:spacing w:before="240" w:after="64" w:line="320" w:lineRule="auto"/>
      <w:outlineLvl w:val="8"/>
    </w:pPr>
    <w:rPr>
      <w:rFonts w:asciiTheme="majorHAnsi" w:eastAsiaTheme="majorEastAsia" w:hAnsiTheme="majorHAnsi" w:cstheme="majorBidi"/>
      <w:szCs w:val="21"/>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6">
    <w:name w:val="List Paragraph"/>
    <w:basedOn w:val="a5"/>
    <w:link w:val="Char"/>
    <w:qFormat/>
    <w:rsid w:val="000F24AC"/>
  </w:style>
  <w:style w:type="paragraph" w:styleId="70">
    <w:name w:val="toc 7"/>
    <w:basedOn w:val="a5"/>
    <w:next w:val="a5"/>
    <w:uiPriority w:val="39"/>
    <w:unhideWhenUsed/>
    <w:qFormat/>
    <w:rsid w:val="000F24AC"/>
    <w:pPr>
      <w:ind w:leftChars="1200" w:left="2520"/>
    </w:pPr>
  </w:style>
  <w:style w:type="paragraph" w:styleId="aa">
    <w:name w:val="annotation text"/>
    <w:basedOn w:val="a5"/>
    <w:link w:val="Char0"/>
    <w:qFormat/>
    <w:rsid w:val="000F24AC"/>
    <w:pPr>
      <w:jc w:val="left"/>
    </w:pPr>
    <w:rPr>
      <w:rFonts w:ascii="Calibri" w:eastAsia="宋体" w:hAnsi="Calibri" w:cs="宋体"/>
    </w:rPr>
  </w:style>
  <w:style w:type="paragraph" w:styleId="ab">
    <w:name w:val="Body Text"/>
    <w:basedOn w:val="a5"/>
    <w:link w:val="Char1"/>
    <w:uiPriority w:val="1"/>
    <w:qFormat/>
    <w:rsid w:val="000F24AC"/>
    <w:pPr>
      <w:autoSpaceDE w:val="0"/>
      <w:autoSpaceDN w:val="0"/>
      <w:adjustRightInd w:val="0"/>
      <w:spacing w:before="98"/>
      <w:ind w:left="528"/>
      <w:jc w:val="left"/>
    </w:pPr>
    <w:rPr>
      <w:rFonts w:ascii="宋体" w:eastAsia="宋体" w:hAnsi="Times New Roman" w:cs="宋体"/>
      <w:kern w:val="0"/>
      <w:szCs w:val="21"/>
    </w:rPr>
  </w:style>
  <w:style w:type="paragraph" w:styleId="50">
    <w:name w:val="toc 5"/>
    <w:basedOn w:val="a5"/>
    <w:next w:val="a5"/>
    <w:uiPriority w:val="39"/>
    <w:unhideWhenUsed/>
    <w:qFormat/>
    <w:rsid w:val="000F24AC"/>
    <w:pPr>
      <w:ind w:leftChars="800" w:left="1680"/>
    </w:pPr>
  </w:style>
  <w:style w:type="paragraph" w:styleId="30">
    <w:name w:val="toc 3"/>
    <w:basedOn w:val="a5"/>
    <w:next w:val="a5"/>
    <w:uiPriority w:val="39"/>
    <w:unhideWhenUsed/>
    <w:qFormat/>
    <w:rsid w:val="000F24AC"/>
    <w:pPr>
      <w:ind w:leftChars="400" w:left="840"/>
    </w:pPr>
  </w:style>
  <w:style w:type="paragraph" w:styleId="80">
    <w:name w:val="toc 8"/>
    <w:basedOn w:val="a5"/>
    <w:next w:val="a5"/>
    <w:uiPriority w:val="39"/>
    <w:unhideWhenUsed/>
    <w:qFormat/>
    <w:rsid w:val="000F24AC"/>
    <w:pPr>
      <w:ind w:leftChars="1400" w:left="2940"/>
    </w:pPr>
  </w:style>
  <w:style w:type="paragraph" w:styleId="ac">
    <w:name w:val="Date"/>
    <w:basedOn w:val="a5"/>
    <w:next w:val="a5"/>
    <w:link w:val="Char2"/>
    <w:uiPriority w:val="99"/>
    <w:semiHidden/>
    <w:unhideWhenUsed/>
    <w:qFormat/>
    <w:rsid w:val="000F24AC"/>
    <w:pPr>
      <w:ind w:leftChars="2500" w:left="100"/>
    </w:pPr>
  </w:style>
  <w:style w:type="paragraph" w:styleId="ad">
    <w:name w:val="Balloon Text"/>
    <w:basedOn w:val="a5"/>
    <w:link w:val="Char3"/>
    <w:uiPriority w:val="99"/>
    <w:semiHidden/>
    <w:unhideWhenUsed/>
    <w:qFormat/>
    <w:rsid w:val="000F24AC"/>
    <w:rPr>
      <w:sz w:val="18"/>
      <w:szCs w:val="18"/>
    </w:rPr>
  </w:style>
  <w:style w:type="paragraph" w:styleId="ae">
    <w:name w:val="footer"/>
    <w:basedOn w:val="a5"/>
    <w:link w:val="Char4"/>
    <w:uiPriority w:val="99"/>
    <w:unhideWhenUsed/>
    <w:qFormat/>
    <w:rsid w:val="000F24AC"/>
    <w:pPr>
      <w:tabs>
        <w:tab w:val="center" w:pos="4153"/>
        <w:tab w:val="right" w:pos="8306"/>
      </w:tabs>
      <w:snapToGrid w:val="0"/>
      <w:jc w:val="left"/>
    </w:pPr>
    <w:rPr>
      <w:sz w:val="18"/>
      <w:szCs w:val="18"/>
    </w:rPr>
  </w:style>
  <w:style w:type="paragraph" w:styleId="af">
    <w:name w:val="header"/>
    <w:basedOn w:val="a5"/>
    <w:link w:val="Char5"/>
    <w:uiPriority w:val="99"/>
    <w:unhideWhenUsed/>
    <w:qFormat/>
    <w:rsid w:val="000F24AC"/>
    <w:pPr>
      <w:pBdr>
        <w:bottom w:val="single" w:sz="6" w:space="1" w:color="auto"/>
      </w:pBdr>
      <w:tabs>
        <w:tab w:val="center" w:pos="4153"/>
        <w:tab w:val="right" w:pos="8306"/>
      </w:tabs>
      <w:snapToGrid w:val="0"/>
      <w:jc w:val="center"/>
    </w:pPr>
    <w:rPr>
      <w:sz w:val="18"/>
      <w:szCs w:val="18"/>
    </w:rPr>
  </w:style>
  <w:style w:type="paragraph" w:styleId="10">
    <w:name w:val="toc 1"/>
    <w:basedOn w:val="a5"/>
    <w:next w:val="a5"/>
    <w:uiPriority w:val="39"/>
    <w:unhideWhenUsed/>
    <w:qFormat/>
    <w:rsid w:val="000F24AC"/>
  </w:style>
  <w:style w:type="paragraph" w:styleId="40">
    <w:name w:val="toc 4"/>
    <w:basedOn w:val="a5"/>
    <w:next w:val="a5"/>
    <w:uiPriority w:val="39"/>
    <w:unhideWhenUsed/>
    <w:qFormat/>
    <w:rsid w:val="000F24AC"/>
    <w:pPr>
      <w:ind w:leftChars="600" w:left="1260"/>
    </w:pPr>
  </w:style>
  <w:style w:type="paragraph" w:styleId="60">
    <w:name w:val="toc 6"/>
    <w:basedOn w:val="a5"/>
    <w:next w:val="a5"/>
    <w:uiPriority w:val="39"/>
    <w:unhideWhenUsed/>
    <w:qFormat/>
    <w:rsid w:val="000F24AC"/>
    <w:pPr>
      <w:ind w:leftChars="1000" w:left="2100"/>
    </w:pPr>
  </w:style>
  <w:style w:type="paragraph" w:styleId="20">
    <w:name w:val="toc 2"/>
    <w:basedOn w:val="a5"/>
    <w:next w:val="a5"/>
    <w:uiPriority w:val="39"/>
    <w:unhideWhenUsed/>
    <w:qFormat/>
    <w:rsid w:val="000F24AC"/>
    <w:pPr>
      <w:ind w:leftChars="200" w:left="420"/>
    </w:pPr>
    <w:rPr>
      <w:szCs w:val="24"/>
    </w:rPr>
  </w:style>
  <w:style w:type="paragraph" w:styleId="90">
    <w:name w:val="toc 9"/>
    <w:basedOn w:val="a5"/>
    <w:next w:val="a5"/>
    <w:uiPriority w:val="39"/>
    <w:unhideWhenUsed/>
    <w:qFormat/>
    <w:rsid w:val="000F24AC"/>
    <w:pPr>
      <w:ind w:leftChars="1600" w:left="3360"/>
    </w:pPr>
  </w:style>
  <w:style w:type="paragraph" w:styleId="af0">
    <w:name w:val="annotation subject"/>
    <w:basedOn w:val="aa"/>
    <w:next w:val="aa"/>
    <w:link w:val="Char6"/>
    <w:uiPriority w:val="99"/>
    <w:semiHidden/>
    <w:unhideWhenUsed/>
    <w:qFormat/>
    <w:rsid w:val="000F24AC"/>
    <w:rPr>
      <w:rFonts w:asciiTheme="minorHAnsi" w:eastAsiaTheme="minorEastAsia" w:hAnsiTheme="minorHAnsi" w:cstheme="minorBidi"/>
      <w:b/>
      <w:bCs/>
    </w:rPr>
  </w:style>
  <w:style w:type="table" w:styleId="af1">
    <w:name w:val="Table Grid"/>
    <w:basedOn w:val="a8"/>
    <w:uiPriority w:val="59"/>
    <w:qFormat/>
    <w:rsid w:val="000F24A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FollowedHyperlink"/>
    <w:basedOn w:val="a7"/>
    <w:uiPriority w:val="99"/>
    <w:semiHidden/>
    <w:unhideWhenUsed/>
    <w:qFormat/>
    <w:rsid w:val="000F24AC"/>
    <w:rPr>
      <w:color w:val="954F72" w:themeColor="followedHyperlink"/>
      <w:u w:val="single"/>
    </w:rPr>
  </w:style>
  <w:style w:type="character" w:styleId="af3">
    <w:name w:val="Hyperlink"/>
    <w:basedOn w:val="a7"/>
    <w:uiPriority w:val="99"/>
    <w:unhideWhenUsed/>
    <w:qFormat/>
    <w:rsid w:val="000F24AC"/>
    <w:rPr>
      <w:color w:val="0563C1" w:themeColor="hyperlink"/>
      <w:u w:val="single"/>
    </w:rPr>
  </w:style>
  <w:style w:type="character" w:styleId="af4">
    <w:name w:val="annotation reference"/>
    <w:basedOn w:val="a7"/>
    <w:uiPriority w:val="99"/>
    <w:semiHidden/>
    <w:unhideWhenUsed/>
    <w:qFormat/>
    <w:rsid w:val="000F24AC"/>
    <w:rPr>
      <w:sz w:val="21"/>
      <w:szCs w:val="21"/>
    </w:rPr>
  </w:style>
  <w:style w:type="character" w:customStyle="1" w:styleId="2Char">
    <w:name w:val="标题 2 Char"/>
    <w:basedOn w:val="a7"/>
    <w:link w:val="2"/>
    <w:uiPriority w:val="9"/>
    <w:qFormat/>
    <w:rsid w:val="000F24AC"/>
    <w:rPr>
      <w:rFonts w:asciiTheme="minorEastAsia" w:hAnsiTheme="minorEastAsia" w:cstheme="minorEastAsia"/>
      <w:b/>
      <w:kern w:val="2"/>
      <w:sz w:val="21"/>
      <w:szCs w:val="24"/>
    </w:rPr>
  </w:style>
  <w:style w:type="character" w:customStyle="1" w:styleId="Char2">
    <w:name w:val="日期 Char"/>
    <w:basedOn w:val="a7"/>
    <w:link w:val="ac"/>
    <w:uiPriority w:val="99"/>
    <w:semiHidden/>
    <w:qFormat/>
    <w:rsid w:val="000F24AC"/>
  </w:style>
  <w:style w:type="character" w:customStyle="1" w:styleId="Char5">
    <w:name w:val="页眉 Char"/>
    <w:basedOn w:val="a7"/>
    <w:link w:val="af"/>
    <w:uiPriority w:val="99"/>
    <w:qFormat/>
    <w:rsid w:val="000F24AC"/>
    <w:rPr>
      <w:sz w:val="18"/>
      <w:szCs w:val="18"/>
    </w:rPr>
  </w:style>
  <w:style w:type="character" w:customStyle="1" w:styleId="Char4">
    <w:name w:val="页脚 Char"/>
    <w:basedOn w:val="a7"/>
    <w:link w:val="ae"/>
    <w:uiPriority w:val="99"/>
    <w:qFormat/>
    <w:rsid w:val="000F24AC"/>
    <w:rPr>
      <w:sz w:val="18"/>
      <w:szCs w:val="18"/>
    </w:rPr>
  </w:style>
  <w:style w:type="character" w:customStyle="1" w:styleId="1Char">
    <w:name w:val="标题 1 Char"/>
    <w:basedOn w:val="a7"/>
    <w:link w:val="1"/>
    <w:uiPriority w:val="9"/>
    <w:qFormat/>
    <w:rsid w:val="000F24AC"/>
    <w:rPr>
      <w:rFonts w:asciiTheme="minorEastAsia" w:hAnsiTheme="minorEastAsia" w:cstheme="minorEastAsia"/>
      <w:b/>
      <w:bCs/>
      <w:kern w:val="2"/>
      <w:sz w:val="21"/>
      <w:szCs w:val="24"/>
    </w:rPr>
  </w:style>
  <w:style w:type="paragraph" w:customStyle="1" w:styleId="TOC1">
    <w:name w:val="TOC 标题1"/>
    <w:basedOn w:val="1"/>
    <w:next w:val="a5"/>
    <w:uiPriority w:val="39"/>
    <w:unhideWhenUsed/>
    <w:qFormat/>
    <w:rsid w:val="000F24AC"/>
    <w:pPr>
      <w:widowControl/>
      <w:spacing w:before="24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Char3">
    <w:name w:val="批注框文本 Char"/>
    <w:basedOn w:val="a7"/>
    <w:link w:val="ad"/>
    <w:uiPriority w:val="99"/>
    <w:semiHidden/>
    <w:qFormat/>
    <w:rsid w:val="000F24AC"/>
    <w:rPr>
      <w:kern w:val="2"/>
      <w:sz w:val="18"/>
      <w:szCs w:val="18"/>
    </w:rPr>
  </w:style>
  <w:style w:type="character" w:customStyle="1" w:styleId="3Char">
    <w:name w:val="标题 3 Char"/>
    <w:basedOn w:val="a7"/>
    <w:link w:val="3"/>
    <w:uiPriority w:val="9"/>
    <w:qFormat/>
    <w:rsid w:val="000F24AC"/>
    <w:rPr>
      <w:rFonts w:asciiTheme="minorEastAsia" w:hAnsiTheme="minorEastAsia" w:cstheme="minorEastAsia"/>
      <w:kern w:val="2"/>
      <w:sz w:val="21"/>
      <w:szCs w:val="24"/>
    </w:rPr>
  </w:style>
  <w:style w:type="character" w:customStyle="1" w:styleId="Char0">
    <w:name w:val="批注文字 Char"/>
    <w:basedOn w:val="a7"/>
    <w:link w:val="aa"/>
    <w:qFormat/>
    <w:rsid w:val="000F24AC"/>
    <w:rPr>
      <w:rFonts w:ascii="Calibri" w:eastAsia="宋体" w:hAnsi="Calibri" w:cs="宋体"/>
      <w:kern w:val="2"/>
      <w:sz w:val="21"/>
      <w:szCs w:val="22"/>
    </w:rPr>
  </w:style>
  <w:style w:type="character" w:customStyle="1" w:styleId="11">
    <w:name w:val="未处理的提及1"/>
    <w:basedOn w:val="a7"/>
    <w:uiPriority w:val="99"/>
    <w:semiHidden/>
    <w:unhideWhenUsed/>
    <w:qFormat/>
    <w:rsid w:val="000F24AC"/>
    <w:rPr>
      <w:color w:val="605E5C"/>
      <w:shd w:val="clear" w:color="auto" w:fill="E1DFDD"/>
    </w:rPr>
  </w:style>
  <w:style w:type="paragraph" w:customStyle="1" w:styleId="Pa1">
    <w:name w:val="Pa1"/>
    <w:basedOn w:val="a5"/>
    <w:next w:val="a5"/>
    <w:uiPriority w:val="99"/>
    <w:qFormat/>
    <w:rsid w:val="000F24AC"/>
    <w:pPr>
      <w:autoSpaceDE w:val="0"/>
      <w:autoSpaceDN w:val="0"/>
      <w:adjustRightInd w:val="0"/>
      <w:spacing w:line="241" w:lineRule="atLeast"/>
      <w:jc w:val="left"/>
    </w:pPr>
    <w:rPr>
      <w:rFonts w:ascii="方正兰亭黑..." w:eastAsia="方正兰亭黑..."/>
      <w:kern w:val="0"/>
      <w:sz w:val="24"/>
      <w:szCs w:val="24"/>
    </w:rPr>
  </w:style>
  <w:style w:type="character" w:customStyle="1" w:styleId="A10">
    <w:name w:val="A1"/>
    <w:uiPriority w:val="99"/>
    <w:qFormat/>
    <w:rsid w:val="000F24AC"/>
    <w:rPr>
      <w:rFonts w:cs="方正兰亭黑..."/>
      <w:color w:val="211D1E"/>
      <w:sz w:val="20"/>
      <w:szCs w:val="20"/>
    </w:rPr>
  </w:style>
  <w:style w:type="character" w:customStyle="1" w:styleId="Char">
    <w:name w:val="列出段落 Char"/>
    <w:link w:val="a6"/>
    <w:qFormat/>
    <w:locked/>
    <w:rsid w:val="000F24AC"/>
    <w:rPr>
      <w:kern w:val="2"/>
      <w:sz w:val="21"/>
      <w:szCs w:val="22"/>
    </w:rPr>
  </w:style>
  <w:style w:type="paragraph" w:customStyle="1" w:styleId="Style376">
    <w:name w:val="_Style 376"/>
    <w:basedOn w:val="a5"/>
    <w:next w:val="a6"/>
    <w:uiPriority w:val="34"/>
    <w:qFormat/>
    <w:rsid w:val="000F24AC"/>
    <w:pPr>
      <w:ind w:firstLineChars="200" w:firstLine="420"/>
    </w:pPr>
    <w:rPr>
      <w:rFonts w:ascii="Times New Roman" w:eastAsia="宋体" w:hAnsi="Times New Roman" w:cs="Times New Roman"/>
      <w:szCs w:val="20"/>
    </w:rPr>
  </w:style>
  <w:style w:type="paragraph" w:customStyle="1" w:styleId="Default">
    <w:name w:val="Default"/>
    <w:qFormat/>
    <w:rsid w:val="000F24AC"/>
    <w:pPr>
      <w:widowControl w:val="0"/>
      <w:autoSpaceDE w:val="0"/>
      <w:autoSpaceDN w:val="0"/>
      <w:adjustRightInd w:val="0"/>
    </w:pPr>
    <w:rPr>
      <w:rFonts w:ascii="黑体" w:eastAsia="黑体" w:cs="黑体"/>
      <w:color w:val="000000"/>
      <w:sz w:val="24"/>
      <w:szCs w:val="24"/>
    </w:rPr>
  </w:style>
  <w:style w:type="character" w:customStyle="1" w:styleId="Char6">
    <w:name w:val="批注主题 Char"/>
    <w:basedOn w:val="Char0"/>
    <w:link w:val="af0"/>
    <w:uiPriority w:val="99"/>
    <w:semiHidden/>
    <w:qFormat/>
    <w:rsid w:val="000F24AC"/>
    <w:rPr>
      <w:rFonts w:ascii="Calibri" w:eastAsia="宋体" w:hAnsi="Calibri" w:cs="宋体"/>
      <w:b/>
      <w:bCs/>
      <w:kern w:val="2"/>
      <w:sz w:val="21"/>
      <w:szCs w:val="22"/>
    </w:rPr>
  </w:style>
  <w:style w:type="paragraph" w:customStyle="1" w:styleId="12">
    <w:name w:val="修订1"/>
    <w:hidden/>
    <w:uiPriority w:val="99"/>
    <w:semiHidden/>
    <w:qFormat/>
    <w:rsid w:val="000F24AC"/>
    <w:rPr>
      <w:kern w:val="2"/>
      <w:sz w:val="21"/>
      <w:szCs w:val="22"/>
    </w:rPr>
  </w:style>
  <w:style w:type="table" w:customStyle="1" w:styleId="TableNormal">
    <w:name w:val="Table Normal"/>
    <w:uiPriority w:val="2"/>
    <w:unhideWhenUsed/>
    <w:qFormat/>
    <w:rsid w:val="000F24AC"/>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TableNormal1">
    <w:name w:val="Table Normal1"/>
    <w:uiPriority w:val="2"/>
    <w:semiHidden/>
    <w:unhideWhenUsed/>
    <w:qFormat/>
    <w:rsid w:val="000F24AC"/>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longtext">
    <w:name w:val="long_text"/>
    <w:basedOn w:val="a7"/>
    <w:qFormat/>
    <w:rsid w:val="000F24AC"/>
  </w:style>
  <w:style w:type="paragraph" w:styleId="af5">
    <w:name w:val="No Spacing"/>
    <w:link w:val="Char7"/>
    <w:qFormat/>
    <w:rsid w:val="000F24AC"/>
    <w:pPr>
      <w:spacing w:before="260" w:after="260" w:line="415" w:lineRule="auto"/>
      <w:jc w:val="both"/>
      <w:outlineLvl w:val="1"/>
    </w:pPr>
    <w:rPr>
      <w:rFonts w:ascii="Calibri" w:eastAsia="宋体" w:hAnsi="Calibri" w:cs="Times New Roman"/>
      <w:b/>
      <w:kern w:val="2"/>
      <w:sz w:val="30"/>
      <w:szCs w:val="22"/>
    </w:rPr>
  </w:style>
  <w:style w:type="character" w:customStyle="1" w:styleId="Char7">
    <w:name w:val="无间隔 Char"/>
    <w:link w:val="af5"/>
    <w:qFormat/>
    <w:rsid w:val="000F24AC"/>
    <w:rPr>
      <w:rFonts w:ascii="Calibri" w:eastAsia="宋体" w:hAnsi="Calibri" w:cs="Times New Roman"/>
      <w:b/>
      <w:kern w:val="2"/>
      <w:sz w:val="30"/>
      <w:szCs w:val="22"/>
    </w:rPr>
  </w:style>
  <w:style w:type="table" w:customStyle="1" w:styleId="TableNormal2">
    <w:name w:val="Table Normal2"/>
    <w:uiPriority w:val="2"/>
    <w:semiHidden/>
    <w:unhideWhenUsed/>
    <w:qFormat/>
    <w:rsid w:val="000F24AC"/>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af6">
    <w:name w:val="标准书眉_奇数页"/>
    <w:next w:val="a5"/>
    <w:qFormat/>
    <w:rsid w:val="000F24AC"/>
    <w:pPr>
      <w:tabs>
        <w:tab w:val="center" w:pos="4154"/>
        <w:tab w:val="right" w:pos="8306"/>
      </w:tabs>
      <w:spacing w:after="220"/>
      <w:jc w:val="right"/>
    </w:pPr>
    <w:rPr>
      <w:rFonts w:ascii="黑体" w:eastAsia="黑体" w:hAnsi="Times New Roman" w:cs="Times New Roman"/>
      <w:sz w:val="21"/>
      <w:szCs w:val="21"/>
    </w:rPr>
  </w:style>
  <w:style w:type="paragraph" w:customStyle="1" w:styleId="af7">
    <w:name w:val="标准文件_段"/>
    <w:link w:val="Char8"/>
    <w:qFormat/>
    <w:rsid w:val="000F24AC"/>
    <w:pPr>
      <w:autoSpaceDE w:val="0"/>
      <w:autoSpaceDN w:val="0"/>
      <w:ind w:firstLineChars="200" w:firstLine="200"/>
      <w:jc w:val="both"/>
    </w:pPr>
    <w:rPr>
      <w:rFonts w:ascii="宋体" w:eastAsia="宋体" w:hAnsi="Times New Roman" w:cs="Times New Roman"/>
      <w:sz w:val="21"/>
    </w:rPr>
  </w:style>
  <w:style w:type="paragraph" w:customStyle="1" w:styleId="a">
    <w:name w:val="标准文件_前言、引言标题"/>
    <w:next w:val="a5"/>
    <w:qFormat/>
    <w:rsid w:val="000F24AC"/>
    <w:pPr>
      <w:numPr>
        <w:numId w:val="4"/>
      </w:numPr>
      <w:shd w:val="clear" w:color="FFFFFF" w:fill="FFFFFF"/>
      <w:spacing w:afterLines="150"/>
      <w:ind w:left="0" w:firstLine="0"/>
      <w:jc w:val="center"/>
      <w:outlineLvl w:val="0"/>
    </w:pPr>
    <w:rPr>
      <w:rFonts w:ascii="黑体" w:eastAsia="黑体" w:hAnsi="Times New Roman" w:cs="Times New Roman"/>
      <w:sz w:val="32"/>
    </w:rPr>
  </w:style>
  <w:style w:type="character" w:customStyle="1" w:styleId="Char8">
    <w:name w:val="标准文件_段 Char"/>
    <w:link w:val="af7"/>
    <w:qFormat/>
    <w:rsid w:val="000F24AC"/>
    <w:rPr>
      <w:rFonts w:ascii="宋体" w:eastAsia="宋体" w:hAnsi="Times New Roman" w:cs="Times New Roman"/>
      <w:sz w:val="21"/>
    </w:rPr>
  </w:style>
  <w:style w:type="paragraph" w:customStyle="1" w:styleId="a0">
    <w:name w:val="标准文件_引言一级条标题"/>
    <w:basedOn w:val="af7"/>
    <w:next w:val="af7"/>
    <w:qFormat/>
    <w:rsid w:val="000F24AC"/>
    <w:pPr>
      <w:numPr>
        <w:ilvl w:val="1"/>
        <w:numId w:val="4"/>
      </w:numPr>
      <w:spacing w:beforeLines="50" w:afterLines="50"/>
      <w:ind w:left="525" w:firstLineChars="0" w:hanging="420"/>
    </w:pPr>
    <w:rPr>
      <w:rFonts w:ascii="黑体" w:eastAsia="黑体"/>
    </w:rPr>
  </w:style>
  <w:style w:type="paragraph" w:customStyle="1" w:styleId="a1">
    <w:name w:val="标准文件_引言二级条标题"/>
    <w:basedOn w:val="af7"/>
    <w:next w:val="af7"/>
    <w:qFormat/>
    <w:rsid w:val="000F24AC"/>
    <w:pPr>
      <w:numPr>
        <w:ilvl w:val="2"/>
        <w:numId w:val="4"/>
      </w:numPr>
      <w:spacing w:beforeLines="50" w:afterLines="50"/>
      <w:ind w:left="525" w:firstLineChars="0" w:hanging="420"/>
    </w:pPr>
    <w:rPr>
      <w:rFonts w:ascii="黑体" w:eastAsia="黑体"/>
    </w:rPr>
  </w:style>
  <w:style w:type="paragraph" w:customStyle="1" w:styleId="a2">
    <w:name w:val="标准文件_引言三级条标题"/>
    <w:basedOn w:val="af7"/>
    <w:next w:val="af7"/>
    <w:qFormat/>
    <w:rsid w:val="000F24AC"/>
    <w:pPr>
      <w:numPr>
        <w:ilvl w:val="3"/>
        <w:numId w:val="4"/>
      </w:numPr>
      <w:spacing w:beforeLines="50" w:afterLines="50"/>
      <w:ind w:left="525" w:firstLineChars="0" w:hanging="420"/>
    </w:pPr>
    <w:rPr>
      <w:rFonts w:ascii="黑体" w:eastAsia="黑体"/>
    </w:rPr>
  </w:style>
  <w:style w:type="paragraph" w:customStyle="1" w:styleId="a3">
    <w:name w:val="标准文件_引言四级条标题"/>
    <w:basedOn w:val="af7"/>
    <w:next w:val="af7"/>
    <w:qFormat/>
    <w:rsid w:val="000F24AC"/>
    <w:pPr>
      <w:numPr>
        <w:ilvl w:val="4"/>
        <w:numId w:val="4"/>
      </w:numPr>
      <w:spacing w:beforeLines="50" w:afterLines="50"/>
      <w:ind w:left="525" w:firstLineChars="0" w:hanging="420"/>
    </w:pPr>
    <w:rPr>
      <w:rFonts w:ascii="黑体" w:eastAsia="黑体"/>
    </w:rPr>
  </w:style>
  <w:style w:type="paragraph" w:customStyle="1" w:styleId="a4">
    <w:name w:val="标准文件_引言五级条标题"/>
    <w:basedOn w:val="af7"/>
    <w:next w:val="af7"/>
    <w:qFormat/>
    <w:rsid w:val="000F24AC"/>
    <w:pPr>
      <w:numPr>
        <w:ilvl w:val="5"/>
        <w:numId w:val="4"/>
      </w:numPr>
      <w:spacing w:beforeLines="50" w:afterLines="50"/>
      <w:ind w:left="525" w:firstLineChars="0" w:hanging="420"/>
    </w:pPr>
    <w:rPr>
      <w:rFonts w:ascii="黑体" w:eastAsia="黑体"/>
    </w:rPr>
  </w:style>
  <w:style w:type="character" w:customStyle="1" w:styleId="4Char">
    <w:name w:val="标题 4 Char"/>
    <w:basedOn w:val="a7"/>
    <w:link w:val="4"/>
    <w:uiPriority w:val="9"/>
    <w:qFormat/>
    <w:rsid w:val="000F24AC"/>
    <w:rPr>
      <w:rFonts w:asciiTheme="minorEastAsia" w:hAnsiTheme="minorEastAsia" w:cstheme="minorEastAsia"/>
      <w:kern w:val="2"/>
      <w:sz w:val="21"/>
      <w:szCs w:val="24"/>
    </w:rPr>
  </w:style>
  <w:style w:type="character" w:customStyle="1" w:styleId="5Char">
    <w:name w:val="标题 5 Char"/>
    <w:basedOn w:val="a7"/>
    <w:link w:val="5"/>
    <w:uiPriority w:val="9"/>
    <w:semiHidden/>
    <w:qFormat/>
    <w:rsid w:val="000F24AC"/>
    <w:rPr>
      <w:b/>
      <w:bCs/>
      <w:kern w:val="2"/>
      <w:sz w:val="28"/>
      <w:szCs w:val="28"/>
    </w:rPr>
  </w:style>
  <w:style w:type="character" w:customStyle="1" w:styleId="6Char">
    <w:name w:val="标题 6 Char"/>
    <w:basedOn w:val="a7"/>
    <w:link w:val="6"/>
    <w:uiPriority w:val="9"/>
    <w:semiHidden/>
    <w:qFormat/>
    <w:rsid w:val="000F24AC"/>
    <w:rPr>
      <w:rFonts w:asciiTheme="majorHAnsi" w:eastAsiaTheme="majorEastAsia" w:hAnsiTheme="majorHAnsi" w:cstheme="majorBidi"/>
      <w:b/>
      <w:bCs/>
      <w:kern w:val="2"/>
      <w:sz w:val="24"/>
      <w:szCs w:val="24"/>
    </w:rPr>
  </w:style>
  <w:style w:type="character" w:customStyle="1" w:styleId="7Char">
    <w:name w:val="标题 7 Char"/>
    <w:basedOn w:val="a7"/>
    <w:link w:val="7"/>
    <w:uiPriority w:val="9"/>
    <w:semiHidden/>
    <w:qFormat/>
    <w:rsid w:val="000F24AC"/>
    <w:rPr>
      <w:b/>
      <w:bCs/>
      <w:kern w:val="2"/>
      <w:sz w:val="24"/>
      <w:szCs w:val="24"/>
    </w:rPr>
  </w:style>
  <w:style w:type="character" w:customStyle="1" w:styleId="8Char">
    <w:name w:val="标题 8 Char"/>
    <w:basedOn w:val="a7"/>
    <w:link w:val="8"/>
    <w:uiPriority w:val="9"/>
    <w:semiHidden/>
    <w:qFormat/>
    <w:rsid w:val="000F24AC"/>
    <w:rPr>
      <w:rFonts w:asciiTheme="majorHAnsi" w:eastAsiaTheme="majorEastAsia" w:hAnsiTheme="majorHAnsi" w:cstheme="majorBidi"/>
      <w:kern w:val="2"/>
      <w:sz w:val="24"/>
      <w:szCs w:val="24"/>
    </w:rPr>
  </w:style>
  <w:style w:type="character" w:customStyle="1" w:styleId="9Char">
    <w:name w:val="标题 9 Char"/>
    <w:basedOn w:val="a7"/>
    <w:link w:val="9"/>
    <w:uiPriority w:val="9"/>
    <w:semiHidden/>
    <w:qFormat/>
    <w:rsid w:val="000F24AC"/>
    <w:rPr>
      <w:rFonts w:asciiTheme="majorHAnsi" w:eastAsiaTheme="majorEastAsia" w:hAnsiTheme="majorHAnsi" w:cstheme="majorBidi"/>
      <w:kern w:val="2"/>
      <w:sz w:val="21"/>
      <w:szCs w:val="21"/>
    </w:rPr>
  </w:style>
  <w:style w:type="paragraph" w:customStyle="1" w:styleId="TableParagraph">
    <w:name w:val="Table Paragraph"/>
    <w:basedOn w:val="a5"/>
    <w:uiPriority w:val="1"/>
    <w:qFormat/>
    <w:rsid w:val="000F24AC"/>
    <w:pPr>
      <w:autoSpaceDE w:val="0"/>
      <w:autoSpaceDN w:val="0"/>
      <w:jc w:val="left"/>
    </w:pPr>
    <w:rPr>
      <w:rFonts w:ascii="宋体" w:eastAsia="宋体" w:hAnsi="宋体" w:cs="宋体"/>
      <w:kern w:val="0"/>
      <w:sz w:val="22"/>
      <w:lang w:eastAsia="en-US"/>
    </w:rPr>
  </w:style>
  <w:style w:type="character" w:customStyle="1" w:styleId="21">
    <w:name w:val="未处理的提及2"/>
    <w:basedOn w:val="a7"/>
    <w:uiPriority w:val="99"/>
    <w:semiHidden/>
    <w:unhideWhenUsed/>
    <w:qFormat/>
    <w:rsid w:val="000F24AC"/>
    <w:rPr>
      <w:color w:val="605E5C"/>
      <w:shd w:val="clear" w:color="auto" w:fill="E1DFDD"/>
    </w:rPr>
  </w:style>
  <w:style w:type="paragraph" w:customStyle="1" w:styleId="22">
    <w:name w:val="修订2"/>
    <w:hidden/>
    <w:uiPriority w:val="99"/>
    <w:semiHidden/>
    <w:qFormat/>
    <w:rsid w:val="000F24AC"/>
    <w:rPr>
      <w:kern w:val="2"/>
      <w:sz w:val="21"/>
      <w:szCs w:val="22"/>
    </w:rPr>
  </w:style>
  <w:style w:type="character" w:customStyle="1" w:styleId="31">
    <w:name w:val="未处理的提及3"/>
    <w:basedOn w:val="a7"/>
    <w:uiPriority w:val="99"/>
    <w:semiHidden/>
    <w:unhideWhenUsed/>
    <w:qFormat/>
    <w:rsid w:val="000F24AC"/>
    <w:rPr>
      <w:color w:val="605E5C"/>
      <w:shd w:val="clear" w:color="auto" w:fill="E1DFDD"/>
    </w:rPr>
  </w:style>
  <w:style w:type="character" w:customStyle="1" w:styleId="Char1">
    <w:name w:val="正文文本 Char"/>
    <w:basedOn w:val="a7"/>
    <w:link w:val="ab"/>
    <w:uiPriority w:val="1"/>
    <w:qFormat/>
    <w:rsid w:val="000F24AC"/>
    <w:rPr>
      <w:rFonts w:ascii="宋体" w:eastAsia="宋体" w:hAnsi="Times New Roman" w:cs="宋体"/>
      <w:sz w:val="21"/>
      <w:szCs w:val="21"/>
    </w:rPr>
  </w:style>
  <w:style w:type="character" w:customStyle="1" w:styleId="41">
    <w:name w:val="未处理的提及4"/>
    <w:basedOn w:val="a7"/>
    <w:uiPriority w:val="99"/>
    <w:semiHidden/>
    <w:unhideWhenUsed/>
    <w:qFormat/>
    <w:rsid w:val="000F24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488860844">
      <w:bodyDiv w:val="1"/>
      <w:marLeft w:val="0"/>
      <w:marRight w:val="0"/>
      <w:marTop w:val="0"/>
      <w:marBottom w:val="0"/>
      <w:divBdr>
        <w:top w:val="none" w:sz="0" w:space="0" w:color="auto"/>
        <w:left w:val="none" w:sz="0" w:space="0" w:color="auto"/>
        <w:bottom w:val="none" w:sz="0" w:space="0" w:color="auto"/>
        <w:right w:val="none" w:sz="0" w:space="0" w:color="auto"/>
      </w:divBdr>
      <w:divsChild>
        <w:div w:id="188397454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741C2B-283B-4EB0-82AF-2CAF7B78D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73</Pages>
  <Words>6675</Words>
  <Characters>38053</Characters>
  <Application>Microsoft Office Word</Application>
  <DocSecurity>0</DocSecurity>
  <Lines>317</Lines>
  <Paragraphs>89</Paragraphs>
  <ScaleCrop>false</ScaleCrop>
  <Company/>
  <LinksUpToDate>false</LinksUpToDate>
  <CharactersWithSpaces>44639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Administrator</cp:lastModifiedBy>
  <cp:revision>2</cp:revision>
  <cp:lastPrinted>2022-06-27T01:10:00Z</cp:lastPrinted>
  <dcterms:created xsi:type="dcterms:W3CDTF">2024-09-08T16:02:00Z</dcterms:created>
  <dcterms:modified xsi:type="dcterms:W3CDTF">2024-09-08T16:02:00Z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8C6C37C62F624B9AB4C29753D6B47AD6_13</vt:lpwstr>
  </property>
</Properties>
</file>